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48" w:rsidRPr="00E9025E" w:rsidRDefault="002D6448" w:rsidP="00E47DA3">
      <w:pPr>
        <w:spacing w:before="0" w:line="240" w:lineRule="auto"/>
        <w:jc w:val="both"/>
        <w:rPr>
          <w:b/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Uwagi metodologiczne</w:t>
      </w:r>
    </w:p>
    <w:p w:rsidR="002D6448" w:rsidRPr="00E9025E" w:rsidRDefault="00E47DA3" w:rsidP="00E47DA3">
      <w:pPr>
        <w:spacing w:line="288" w:lineRule="auto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Od 1</w:t>
      </w:r>
      <w:r w:rsidR="002D6448" w:rsidRPr="00E9025E">
        <w:rPr>
          <w:color w:val="000000" w:themeColor="text1"/>
          <w:szCs w:val="19"/>
        </w:rPr>
        <w:t xml:space="preserve"> kwartału 2021 r. w Badaniu Aktywności Ekonomicznej wprowadzono zmiany metodologiczne (zostały one nieco szerzej opisane w notatce </w:t>
      </w:r>
      <w:hyperlink r:id="rId8" w:tooltip="Link do notatki &quot;Informacja GUS na temat zmian wprowadzanych od 2021 r. w BAEL&quot;" w:history="1">
        <w:r w:rsidR="002D6448" w:rsidRPr="00E9025E">
          <w:rPr>
            <w:rStyle w:val="Hipercze"/>
            <w:color w:val="000000" w:themeColor="text1"/>
            <w:szCs w:val="19"/>
          </w:rPr>
          <w:t>informacja GUS na temat zmian wprowadzanych od 2021 r. w BAEL</w:t>
        </w:r>
      </w:hyperlink>
      <w:r w:rsidR="002D6448" w:rsidRPr="00E9025E">
        <w:rPr>
          <w:color w:val="000000" w:themeColor="text1"/>
          <w:szCs w:val="19"/>
        </w:rPr>
        <w:t>.</w:t>
      </w:r>
    </w:p>
    <w:p w:rsidR="002D6448" w:rsidRPr="00E9025E" w:rsidRDefault="002D6448" w:rsidP="00E47DA3">
      <w:pPr>
        <w:spacing w:line="288" w:lineRule="auto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Wprowadzone zmiany dotyczą przede wszystkim:</w:t>
      </w:r>
    </w:p>
    <w:p w:rsidR="002D6448" w:rsidRPr="00E9025E" w:rsidRDefault="002D6448" w:rsidP="00F2633A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definicji pracujących (co w konsekwencji ma również wpływ na populację osób niepracujących, czyli bezrobotnych i biernych zawodowo i rzutuje także na ich wzajemne relacje opisywane wskaźnikami),</w:t>
      </w:r>
    </w:p>
    <w:p w:rsidR="002D6448" w:rsidRPr="00E9025E" w:rsidRDefault="002D6448" w:rsidP="00F2633A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metodologii wyodrębniania poszczególnych</w:t>
      </w:r>
      <w:r w:rsidR="00AA1C60" w:rsidRPr="00E9025E">
        <w:rPr>
          <w:color w:val="000000" w:themeColor="text1"/>
          <w:szCs w:val="19"/>
        </w:rPr>
        <w:t xml:space="preserve"> populacji osób na rynku pracy –</w:t>
      </w:r>
      <w:r w:rsidRPr="00E9025E">
        <w:rPr>
          <w:color w:val="000000" w:themeColor="text1"/>
          <w:szCs w:val="19"/>
        </w:rPr>
        <w:t xml:space="preserve"> pracujących, bezrobotnych i biernych zawodowo (przede wszystkim dostosowanie treści i kolejności pytań oraz umiejscowienia ich w kwestionariuszu do wymagań nowych aktów prawnych),</w:t>
      </w:r>
    </w:p>
    <w:p w:rsidR="002D6448" w:rsidRPr="00E9025E" w:rsidRDefault="002D6448" w:rsidP="00F2633A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zakresu podmiotowego – zasadniczą częścią bad</w:t>
      </w:r>
      <w:r w:rsidR="00AA1C60" w:rsidRPr="00E9025E">
        <w:rPr>
          <w:color w:val="000000" w:themeColor="text1"/>
          <w:szCs w:val="19"/>
        </w:rPr>
        <w:t>ania objęte są osoby w wieku 15–</w:t>
      </w:r>
      <w:r w:rsidR="00E47DA3" w:rsidRPr="00E9025E">
        <w:rPr>
          <w:color w:val="000000" w:themeColor="text1"/>
          <w:szCs w:val="19"/>
        </w:rPr>
        <w:t>89 lat (do 4</w:t>
      </w:r>
      <w:r w:rsidR="00E9025E" w:rsidRPr="00E9025E">
        <w:rPr>
          <w:color w:val="000000" w:themeColor="text1"/>
          <w:szCs w:val="19"/>
        </w:rPr>
        <w:t xml:space="preserve"> kw</w:t>
      </w:r>
      <w:r w:rsidR="00E9025E">
        <w:rPr>
          <w:color w:val="000000" w:themeColor="text1"/>
          <w:szCs w:val="19"/>
        </w:rPr>
        <w:t>.</w:t>
      </w:r>
      <w:r w:rsidRPr="00E9025E">
        <w:rPr>
          <w:color w:val="000000" w:themeColor="text1"/>
          <w:szCs w:val="19"/>
        </w:rPr>
        <w:t xml:space="preserve"> </w:t>
      </w:r>
      <w:r w:rsidR="00E9025E">
        <w:rPr>
          <w:color w:val="000000" w:themeColor="text1"/>
          <w:szCs w:val="19"/>
        </w:rPr>
        <w:br/>
      </w:r>
      <w:r w:rsidRPr="00E9025E">
        <w:rPr>
          <w:color w:val="000000" w:themeColor="text1"/>
          <w:szCs w:val="19"/>
        </w:rPr>
        <w:t xml:space="preserve">2020 r. były to osoby w wieku 15 lat i więcej), dla pozostałych członków gospodarstwa domowego, </w:t>
      </w:r>
      <w:r w:rsidR="00E9025E" w:rsidRPr="00E9025E">
        <w:rPr>
          <w:color w:val="000000" w:themeColor="text1"/>
          <w:szCs w:val="19"/>
        </w:rPr>
        <w:br/>
      </w:r>
      <w:r w:rsidRPr="00E9025E">
        <w:rPr>
          <w:color w:val="000000" w:themeColor="text1"/>
          <w:szCs w:val="19"/>
        </w:rPr>
        <w:t>tj. osób w wieku poniżej 15 lat i powyżej 89 lat, zbierane są wyłączni</w:t>
      </w:r>
      <w:r w:rsidR="00E9025E" w:rsidRPr="00E9025E">
        <w:rPr>
          <w:color w:val="000000" w:themeColor="text1"/>
          <w:szCs w:val="19"/>
        </w:rPr>
        <w:t>e informacje dotyczące</w:t>
      </w:r>
      <w:r w:rsidRPr="00E9025E">
        <w:rPr>
          <w:color w:val="000000" w:themeColor="text1"/>
          <w:szCs w:val="19"/>
        </w:rPr>
        <w:t xml:space="preserve"> ogólnej charakterystyki gospodarstwa domowego, z tego powodu analiza sytuacji na rynku pracy została ograniczona do osób w wieku 15</w:t>
      </w:r>
      <w:r w:rsidR="00AA1C60" w:rsidRPr="00E9025E">
        <w:rPr>
          <w:color w:val="000000" w:themeColor="text1"/>
          <w:szCs w:val="19"/>
        </w:rPr>
        <w:t>–</w:t>
      </w:r>
      <w:r w:rsidRPr="00E9025E">
        <w:rPr>
          <w:color w:val="000000" w:themeColor="text1"/>
          <w:szCs w:val="19"/>
        </w:rPr>
        <w:t>89 lat,</w:t>
      </w:r>
    </w:p>
    <w:p w:rsidR="002D6448" w:rsidRPr="00E9025E" w:rsidRDefault="002D6448" w:rsidP="00F2633A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zakresu przedmiotowego badania (częściowa wymiana zmiennych mająca na celu lepsze dostosowanie zakresu pozyskiwanych informacji do aktualnych potrzeb użytkowników danych).</w:t>
      </w:r>
    </w:p>
    <w:p w:rsidR="002D6448" w:rsidRPr="00E9025E" w:rsidRDefault="002D6448" w:rsidP="00AA3A8D">
      <w:pPr>
        <w:spacing w:line="288" w:lineRule="auto"/>
        <w:rPr>
          <w:rFonts w:eastAsia="Times New Roman" w:cs="Times New Roman"/>
          <w:color w:val="000000" w:themeColor="text1"/>
          <w:szCs w:val="19"/>
        </w:rPr>
      </w:pPr>
      <w:r w:rsidRPr="00E9025E">
        <w:rPr>
          <w:rFonts w:eastAsia="Times New Roman" w:cs="Times New Roman"/>
          <w:color w:val="000000" w:themeColor="text1"/>
          <w:szCs w:val="19"/>
        </w:rPr>
        <w:t>Definicja ludności pracującej została zmieniona m.in. poprzez:</w:t>
      </w:r>
    </w:p>
    <w:p w:rsidR="002D6448" w:rsidRPr="00E9025E" w:rsidRDefault="002D6448" w:rsidP="00E9025E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uwzględnienie (włączenie do grona pracujących): </w:t>
      </w:r>
    </w:p>
    <w:p w:rsidR="002D6448" w:rsidRPr="00E9025E" w:rsidRDefault="002D6448" w:rsidP="00E9025E">
      <w:pPr>
        <w:numPr>
          <w:ilvl w:val="1"/>
          <w:numId w:val="2"/>
        </w:numPr>
        <w:tabs>
          <w:tab w:val="clear" w:pos="1440"/>
        </w:tabs>
        <w:spacing w:before="0" w:after="0" w:line="288" w:lineRule="auto"/>
        <w:ind w:left="567" w:hanging="283"/>
        <w:jc w:val="both"/>
        <w:rPr>
          <w:rFonts w:eastAsia="Times New Roman" w:cs="Times New Roman"/>
          <w:color w:val="000000" w:themeColor="text1"/>
          <w:szCs w:val="19"/>
        </w:rPr>
      </w:pPr>
      <w:r w:rsidRPr="00E9025E">
        <w:rPr>
          <w:rFonts w:eastAsia="Times New Roman" w:cs="Times New Roman"/>
          <w:color w:val="000000" w:themeColor="text1"/>
          <w:szCs w:val="19"/>
        </w:rPr>
        <w:t>pomagających członków rodziny wykonujących pracę na rzecz rodziny spoza własnego gospodarstwa domowego (prowadzącej pozarolniczą działalność gospodarczą lub indywidualne gospodarstwo rolne),</w:t>
      </w:r>
    </w:p>
    <w:p w:rsidR="002D6448" w:rsidRPr="00E9025E" w:rsidRDefault="002D6448" w:rsidP="00E9025E">
      <w:pPr>
        <w:numPr>
          <w:ilvl w:val="1"/>
          <w:numId w:val="2"/>
        </w:numPr>
        <w:tabs>
          <w:tab w:val="clear" w:pos="1440"/>
        </w:tabs>
        <w:spacing w:before="0" w:after="0" w:line="288" w:lineRule="auto"/>
        <w:ind w:left="567" w:hanging="283"/>
        <w:jc w:val="both"/>
        <w:rPr>
          <w:rFonts w:eastAsia="Times New Roman" w:cs="Times New Roman"/>
          <w:color w:val="000000" w:themeColor="text1"/>
          <w:szCs w:val="19"/>
        </w:rPr>
      </w:pPr>
      <w:r w:rsidRPr="00E9025E">
        <w:rPr>
          <w:rFonts w:eastAsia="Times New Roman" w:cs="Times New Roman"/>
          <w:color w:val="000000" w:themeColor="text1"/>
          <w:szCs w:val="19"/>
        </w:rPr>
        <w:t>osób wykonujących część swojej pracy poza sezonem,</w:t>
      </w:r>
    </w:p>
    <w:p w:rsidR="002D6448" w:rsidRPr="00E9025E" w:rsidRDefault="002D6448" w:rsidP="00E9025E">
      <w:pPr>
        <w:numPr>
          <w:ilvl w:val="1"/>
          <w:numId w:val="2"/>
        </w:numPr>
        <w:tabs>
          <w:tab w:val="clear" w:pos="1440"/>
        </w:tabs>
        <w:spacing w:before="0" w:after="0" w:line="288" w:lineRule="auto"/>
        <w:ind w:left="567" w:hanging="283"/>
        <w:jc w:val="both"/>
        <w:rPr>
          <w:rFonts w:eastAsia="Times New Roman" w:cs="Times New Roman"/>
          <w:color w:val="000000" w:themeColor="text1"/>
          <w:szCs w:val="19"/>
        </w:rPr>
      </w:pPr>
      <w:r w:rsidRPr="00E9025E">
        <w:rPr>
          <w:rFonts w:eastAsia="Times New Roman" w:cs="Times New Roman"/>
          <w:color w:val="000000" w:themeColor="text1"/>
          <w:szCs w:val="19"/>
        </w:rPr>
        <w:t>uproszczenie dotychczasowych kryteriów zaliczania do pracujących osób przebywających na urlopie wychowawczym (obecnie wszystkie te osoby są zaliczane do pracujących),</w:t>
      </w:r>
    </w:p>
    <w:p w:rsidR="002D6448" w:rsidRPr="00E9025E" w:rsidRDefault="002D6448" w:rsidP="00E9025E">
      <w:pPr>
        <w:pStyle w:val="Akapitzlist"/>
        <w:numPr>
          <w:ilvl w:val="0"/>
          <w:numId w:val="1"/>
        </w:numPr>
        <w:spacing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wyłączenie z populacji pracujących:</w:t>
      </w:r>
    </w:p>
    <w:p w:rsidR="002D6448" w:rsidRPr="00E9025E" w:rsidRDefault="002D6448" w:rsidP="00E9025E">
      <w:pPr>
        <w:numPr>
          <w:ilvl w:val="1"/>
          <w:numId w:val="2"/>
        </w:numPr>
        <w:tabs>
          <w:tab w:val="clear" w:pos="1440"/>
        </w:tabs>
        <w:spacing w:before="0" w:after="0" w:line="288" w:lineRule="auto"/>
        <w:ind w:left="567" w:hanging="283"/>
        <w:jc w:val="both"/>
        <w:rPr>
          <w:rFonts w:eastAsia="Times New Roman" w:cs="Times New Roman"/>
          <w:color w:val="000000" w:themeColor="text1"/>
          <w:szCs w:val="19"/>
        </w:rPr>
      </w:pPr>
      <w:r w:rsidRPr="00E9025E">
        <w:rPr>
          <w:rFonts w:eastAsia="Times New Roman" w:cs="Times New Roman"/>
          <w:color w:val="000000" w:themeColor="text1"/>
          <w:szCs w:val="19"/>
        </w:rPr>
        <w:t>osób które pracują na własny rachunek w rolnictwie indywidualnym, a efekty pracy przeznaczają wyłącznie lub głównie na własną konsumpcję i jednocześnie nie posiadają innej pracy.</w:t>
      </w:r>
    </w:p>
    <w:p w:rsidR="002D6448" w:rsidRPr="00E9025E" w:rsidRDefault="002D6448" w:rsidP="00AA3A8D">
      <w:pPr>
        <w:spacing w:line="288" w:lineRule="auto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W z</w:t>
      </w:r>
      <w:r w:rsidR="00E47DA3" w:rsidRPr="00E9025E">
        <w:rPr>
          <w:color w:val="000000" w:themeColor="text1"/>
          <w:szCs w:val="19"/>
        </w:rPr>
        <w:t>wiązku z powyższym dane BAEL od 1</w:t>
      </w:r>
      <w:r w:rsidRPr="00E9025E">
        <w:rPr>
          <w:color w:val="000000" w:themeColor="text1"/>
          <w:szCs w:val="19"/>
        </w:rPr>
        <w:t xml:space="preserve"> kw. 2021 r. nie mogą być porównywane z poprzednimi okresami. Prace związane z pełną oceną skutków wprowadzonych zmian dla uzyskiwanyc</w:t>
      </w:r>
      <w:r w:rsidR="00E9025E">
        <w:rPr>
          <w:color w:val="000000" w:themeColor="text1"/>
          <w:szCs w:val="19"/>
        </w:rPr>
        <w:t>h wyników zostaną zakończone w 4</w:t>
      </w:r>
      <w:r w:rsidRPr="00E9025E">
        <w:rPr>
          <w:color w:val="000000" w:themeColor="text1"/>
          <w:szCs w:val="19"/>
        </w:rPr>
        <w:t xml:space="preserve"> kw. br., a w przypadku stwierdzenia przerwania porównywalności szeregów czasowych, podstawowe wskaźniki opracowywane na podstawie BAEL zo</w:t>
      </w:r>
      <w:r w:rsidR="00E47DA3" w:rsidRPr="00E9025E">
        <w:rPr>
          <w:color w:val="000000" w:themeColor="text1"/>
          <w:szCs w:val="19"/>
        </w:rPr>
        <w:t>staną przeliczone począwszy od 1</w:t>
      </w:r>
      <w:r w:rsidRPr="00E9025E">
        <w:rPr>
          <w:color w:val="000000" w:themeColor="text1"/>
          <w:szCs w:val="19"/>
        </w:rPr>
        <w:t xml:space="preserve"> kw. 2009 r.</w:t>
      </w:r>
    </w:p>
    <w:p w:rsidR="002D6448" w:rsidRPr="00E9025E" w:rsidRDefault="00E47DA3" w:rsidP="00AA3A8D">
      <w:pPr>
        <w:spacing w:before="240" w:line="288" w:lineRule="auto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Podstawą metodologii BAEL od 1</w:t>
      </w:r>
      <w:r w:rsidR="002D6448" w:rsidRPr="00E9025E">
        <w:rPr>
          <w:b/>
          <w:color w:val="000000" w:themeColor="text1"/>
          <w:szCs w:val="19"/>
        </w:rPr>
        <w:t xml:space="preserve"> kwartału 2021 r.</w:t>
      </w:r>
      <w:r w:rsidR="002D6448" w:rsidRPr="00E9025E">
        <w:rPr>
          <w:color w:val="000000" w:themeColor="text1"/>
          <w:szCs w:val="19"/>
        </w:rPr>
        <w:t xml:space="preserve"> są definicje dotyczące pracujących, bezrobotnych oraz biernych zawodowo zgodne z Rezolucją dotyczącą statystyki pracy, zatrudnienia i niepełnego wykorzystania siły roboczej, wypracowaną w 2013 r. podczas </w:t>
      </w:r>
      <w:r w:rsidR="002D6448" w:rsidRPr="00AA3A8D">
        <w:rPr>
          <w:color w:val="000000" w:themeColor="text1"/>
          <w:szCs w:val="19"/>
        </w:rPr>
        <w:t>XIX M</w:t>
      </w:r>
      <w:r w:rsidR="002D6448" w:rsidRPr="00E9025E">
        <w:rPr>
          <w:color w:val="000000" w:themeColor="text1"/>
          <w:szCs w:val="19"/>
        </w:rPr>
        <w:t xml:space="preserve">iędzynarodowej Konferencji Statystyków Pracy </w:t>
      </w:r>
      <w:r w:rsidR="00AA3A8D">
        <w:rPr>
          <w:color w:val="000000" w:themeColor="text1"/>
          <w:szCs w:val="19"/>
        </w:rPr>
        <w:br/>
      </w:r>
      <w:r w:rsidR="002D6448" w:rsidRPr="00E9025E">
        <w:rPr>
          <w:color w:val="000000" w:themeColor="text1"/>
          <w:szCs w:val="19"/>
        </w:rPr>
        <w:t>w Genewie (ICLS) i zarekomendowane do stosowania przez Międzynarodową Organizację Pracy (MOP/ILO)</w:t>
      </w:r>
      <w:r w:rsidR="002D6448" w:rsidRPr="00E9025E">
        <w:rPr>
          <w:rStyle w:val="Odwoanieprzypisudolnego"/>
          <w:color w:val="000000" w:themeColor="text1"/>
          <w:szCs w:val="19"/>
        </w:rPr>
        <w:footnoteReference w:id="1"/>
      </w:r>
      <w:r w:rsidR="002D6448" w:rsidRPr="00E9025E">
        <w:rPr>
          <w:color w:val="000000" w:themeColor="text1"/>
          <w:szCs w:val="19"/>
        </w:rPr>
        <w:t xml:space="preserve">. W celu zapewnienia porównywalności w ramach Unii Europejskiej, wdrożenie zapisów nowej rezolucji </w:t>
      </w:r>
      <w:r w:rsidR="00AA3A8D">
        <w:rPr>
          <w:color w:val="000000" w:themeColor="text1"/>
          <w:szCs w:val="19"/>
        </w:rPr>
        <w:br/>
      </w:r>
      <w:r w:rsidR="002D6448" w:rsidRPr="00E9025E">
        <w:rPr>
          <w:color w:val="000000" w:themeColor="text1"/>
          <w:szCs w:val="19"/>
        </w:rPr>
        <w:t>w europejskim badaniu siły roboczej (</w:t>
      </w:r>
      <w:proofErr w:type="spellStart"/>
      <w:r w:rsidR="002D6448" w:rsidRPr="00E9025E">
        <w:rPr>
          <w:color w:val="000000" w:themeColor="text1"/>
          <w:szCs w:val="19"/>
        </w:rPr>
        <w:t>Labour</w:t>
      </w:r>
      <w:proofErr w:type="spellEnd"/>
      <w:r w:rsidR="002D6448" w:rsidRPr="00E9025E">
        <w:rPr>
          <w:color w:val="000000" w:themeColor="text1"/>
          <w:szCs w:val="19"/>
        </w:rPr>
        <w:t xml:space="preserve"> Force </w:t>
      </w:r>
      <w:proofErr w:type="spellStart"/>
      <w:r w:rsidR="002D6448" w:rsidRPr="00E9025E">
        <w:rPr>
          <w:color w:val="000000" w:themeColor="text1"/>
          <w:szCs w:val="19"/>
        </w:rPr>
        <w:t>Survey</w:t>
      </w:r>
      <w:proofErr w:type="spellEnd"/>
      <w:r w:rsidR="002D6448" w:rsidRPr="00E9025E">
        <w:rPr>
          <w:color w:val="000000" w:themeColor="text1"/>
          <w:szCs w:val="19"/>
        </w:rPr>
        <w:t>/</w:t>
      </w:r>
      <w:proofErr w:type="spellStart"/>
      <w:r w:rsidR="002D6448" w:rsidRPr="00E9025E">
        <w:rPr>
          <w:color w:val="000000" w:themeColor="text1"/>
          <w:szCs w:val="19"/>
        </w:rPr>
        <w:t>LFS</w:t>
      </w:r>
      <w:proofErr w:type="spellEnd"/>
      <w:r w:rsidR="002D6448" w:rsidRPr="00E9025E">
        <w:rPr>
          <w:color w:val="000000" w:themeColor="text1"/>
          <w:szCs w:val="19"/>
        </w:rPr>
        <w:t>), w Polsce realizowanym jako BAEL, nastąpiło poprzez rozporządzenie ramowe dla statystyki społecznej (IESS FR), tj. Rozporządzenie Parlamentu Europejskiego i Rady (UE) 2019/1700 z dnia 10 października 2019 r.</w:t>
      </w:r>
      <w:r w:rsidR="002D6448" w:rsidRPr="00E9025E">
        <w:rPr>
          <w:rStyle w:val="Odwoanieprzypisudolnego"/>
          <w:color w:val="000000" w:themeColor="text1"/>
          <w:szCs w:val="19"/>
        </w:rPr>
        <w:footnoteReference w:id="2"/>
      </w:r>
      <w:r w:rsidR="002D6448" w:rsidRPr="00E9025E">
        <w:rPr>
          <w:color w:val="000000" w:themeColor="text1"/>
          <w:szCs w:val="19"/>
        </w:rPr>
        <w:t xml:space="preserve"> oraz jego akty implementacyjne. Definicje dot. aktywności ekonomicznej wprowadziło Rozporządzenie wykonawcze Komisji (UE) 2019/2240 </w:t>
      </w:r>
      <w:r w:rsidR="00AA3A8D">
        <w:rPr>
          <w:color w:val="000000" w:themeColor="text1"/>
          <w:szCs w:val="19"/>
        </w:rPr>
        <w:br/>
      </w:r>
      <w:r w:rsidR="002D6448" w:rsidRPr="00E9025E">
        <w:rPr>
          <w:color w:val="000000" w:themeColor="text1"/>
          <w:szCs w:val="19"/>
        </w:rPr>
        <w:lastRenderedPageBreak/>
        <w:t>z dnia 16 grudnia 2019 r.</w:t>
      </w:r>
      <w:r w:rsidR="002D6448" w:rsidRPr="00E9025E">
        <w:rPr>
          <w:rStyle w:val="Odwoanieprzypisudolnego"/>
          <w:color w:val="000000" w:themeColor="text1"/>
          <w:szCs w:val="19"/>
        </w:rPr>
        <w:footnoteReference w:id="3"/>
      </w:r>
      <w:r w:rsidR="002D6448" w:rsidRPr="00E9025E">
        <w:rPr>
          <w:color w:val="000000" w:themeColor="text1"/>
          <w:szCs w:val="19"/>
        </w:rPr>
        <w:t xml:space="preserve"> określające precyzyjną definicję implementacyjną dla poszczególnych populacji wyodrębnionych ze względu na status na rynku pracy. Przedmiotem badania niezmiennie jest sytuacja </w:t>
      </w:r>
      <w:r w:rsidR="00AA3A8D">
        <w:rPr>
          <w:color w:val="000000" w:themeColor="text1"/>
          <w:szCs w:val="19"/>
        </w:rPr>
        <w:br/>
      </w:r>
      <w:r w:rsidR="002D6448" w:rsidRPr="00E9025E">
        <w:rPr>
          <w:color w:val="000000" w:themeColor="text1"/>
          <w:szCs w:val="19"/>
        </w:rPr>
        <w:t>w zakresie aktywności ekonomicznej ludności, tzn. fakt wykonywania pracy, pozostawania bezrobotnym lub biernym zawodowo w badanym tygodniu.</w:t>
      </w:r>
    </w:p>
    <w:p w:rsidR="002D6448" w:rsidRPr="00E9025E" w:rsidRDefault="002D6448" w:rsidP="001F7394">
      <w:pPr>
        <w:spacing w:before="360" w:line="288" w:lineRule="auto"/>
        <w:jc w:val="both"/>
        <w:rPr>
          <w:b/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Podstawowe definicje stosowane w Badaniu Aktyw</w:t>
      </w:r>
      <w:r w:rsidR="00E47DA3" w:rsidRPr="00E9025E">
        <w:rPr>
          <w:b/>
          <w:color w:val="000000" w:themeColor="text1"/>
          <w:szCs w:val="19"/>
        </w:rPr>
        <w:t>ności Ekonomicznej Ludności od 1</w:t>
      </w:r>
      <w:r w:rsidRPr="00E9025E">
        <w:rPr>
          <w:b/>
          <w:color w:val="000000" w:themeColor="text1"/>
          <w:szCs w:val="19"/>
        </w:rPr>
        <w:t xml:space="preserve"> kw. 2021 r.</w:t>
      </w:r>
    </w:p>
    <w:p w:rsidR="007E5121" w:rsidRPr="00E9025E" w:rsidRDefault="007E5121" w:rsidP="001F7394">
      <w:pPr>
        <w:spacing w:line="288" w:lineRule="auto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  <w:u w:val="single"/>
        </w:rPr>
        <w:t>Ludność aktywna zawodowo</w:t>
      </w:r>
      <w:r w:rsidRPr="00E9025E">
        <w:rPr>
          <w:color w:val="000000" w:themeColor="text1"/>
          <w:szCs w:val="19"/>
        </w:rPr>
        <w:t xml:space="preserve"> (inaczej mówiąc siła robocza) obejmuje wszystkie osoby w wieku 15</w:t>
      </w:r>
      <w:r w:rsidR="00AA1C60" w:rsidRPr="00E9025E">
        <w:rPr>
          <w:color w:val="000000" w:themeColor="text1"/>
          <w:szCs w:val="19"/>
        </w:rPr>
        <w:t>–</w:t>
      </w:r>
      <w:r w:rsidRPr="00E9025E">
        <w:rPr>
          <w:color w:val="000000" w:themeColor="text1"/>
          <w:szCs w:val="19"/>
        </w:rPr>
        <w:t>89 lat  uznane za pracujące lub bezrobotne, zgodnie z definicjami podanymi poniżej.</w:t>
      </w:r>
    </w:p>
    <w:p w:rsidR="007E5121" w:rsidRPr="00E9025E" w:rsidRDefault="007E5121" w:rsidP="00E47DA3">
      <w:pPr>
        <w:spacing w:before="240" w:line="288" w:lineRule="auto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  <w:u w:val="single"/>
        </w:rPr>
        <w:t>Pracujący</w:t>
      </w:r>
      <w:r w:rsidRPr="00E9025E">
        <w:rPr>
          <w:color w:val="000000" w:themeColor="text1"/>
          <w:szCs w:val="19"/>
        </w:rPr>
        <w:t xml:space="preserve"> są to wszystkie osoby w wieku 15</w:t>
      </w:r>
      <w:r w:rsidR="00AA1C60" w:rsidRPr="00E9025E">
        <w:rPr>
          <w:color w:val="000000" w:themeColor="text1"/>
          <w:szCs w:val="19"/>
        </w:rPr>
        <w:t>–</w:t>
      </w:r>
      <w:r w:rsidRPr="00E9025E">
        <w:rPr>
          <w:color w:val="000000" w:themeColor="text1"/>
          <w:szCs w:val="19"/>
        </w:rPr>
        <w:t>89 lat, które w okresie badanego tygodnia:</w:t>
      </w:r>
    </w:p>
    <w:p w:rsidR="007E5121" w:rsidRPr="00E9025E" w:rsidRDefault="007E5121" w:rsidP="00F2633A">
      <w:pPr>
        <w:widowControl w:val="0"/>
        <w:numPr>
          <w:ilvl w:val="0"/>
          <w:numId w:val="6"/>
        </w:numPr>
        <w:spacing w:before="0" w:line="288" w:lineRule="auto"/>
        <w:ind w:left="284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wykonywały przez co najmniej 1 godzinę pracę przynoszącą zarobek lub dochód tzn. były zatrudnione w firmie/instytucji publicznej lub u prywatnego pracodawcy, pracowały we własnym (lub dzierżawionym) gospodarstwie rolnym lub prowadziły własną działalność gospodarczą poza rolnictwem, pomagały (bez wynagrodzenia) w prowadzeniu rodzinnego gospodarstwa rolnego lub rodzinnej działalności gospodarczej poza rolnictwem,</w:t>
      </w:r>
    </w:p>
    <w:p w:rsidR="007E5121" w:rsidRPr="00E9025E" w:rsidRDefault="007E5121" w:rsidP="00F2633A">
      <w:pPr>
        <w:widowControl w:val="0"/>
        <w:numPr>
          <w:ilvl w:val="0"/>
          <w:numId w:val="6"/>
        </w:numPr>
        <w:spacing w:before="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miały pracę, ale jej nie wykonywały:</w:t>
      </w:r>
    </w:p>
    <w:p w:rsidR="007E5121" w:rsidRPr="00E9025E" w:rsidRDefault="007E5121" w:rsidP="00F2633A">
      <w:pPr>
        <w:pStyle w:val="Akapitzlist"/>
        <w:widowControl w:val="0"/>
        <w:numPr>
          <w:ilvl w:val="0"/>
          <w:numId w:val="5"/>
        </w:numPr>
        <w:spacing w:before="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z powodu choroby lub urlopu wypoczynkowego, urlopu związanego z rodzicielstwem (macierzyńskiego, rodzicielskiego, ojcowskiego lub wychowawczego), organizacji czasu pracy (systemu pracy lub odbioru nadgodzin), szkolenia związanego z wykonywaną pracą;</w:t>
      </w:r>
    </w:p>
    <w:p w:rsidR="007E5121" w:rsidRPr="00E9025E" w:rsidRDefault="007E5121" w:rsidP="00F2633A">
      <w:pPr>
        <w:pStyle w:val="Akapitzlist"/>
        <w:widowControl w:val="0"/>
        <w:numPr>
          <w:ilvl w:val="0"/>
          <w:numId w:val="5"/>
        </w:numPr>
        <w:spacing w:before="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z powodu sezonowego charakteru pracy, jeśli w okresie poza sezonem nadal regularnie wypełniały zadania i obowiązki związane z pracą lub prowadzeniem działalności (z wyłączeniem obowiązków prawnych lub administracyjnych);</w:t>
      </w:r>
    </w:p>
    <w:p w:rsidR="007E5121" w:rsidRPr="00E9025E" w:rsidRDefault="007E5121" w:rsidP="00F2633A">
      <w:pPr>
        <w:pStyle w:val="Akapitzlist"/>
        <w:widowControl w:val="0"/>
        <w:numPr>
          <w:ilvl w:val="0"/>
          <w:numId w:val="5"/>
        </w:numPr>
        <w:spacing w:before="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z innych powodów, jeśli przewidywany okres nieobecności w pracy nie przekracza 3 miesięcy.</w:t>
      </w:r>
    </w:p>
    <w:p w:rsidR="007E5121" w:rsidRPr="00E9025E" w:rsidRDefault="007E5121" w:rsidP="00E47DA3">
      <w:pPr>
        <w:pStyle w:val="aga1"/>
        <w:numPr>
          <w:ilvl w:val="12"/>
          <w:numId w:val="0"/>
        </w:numPr>
        <w:spacing w:before="120" w:after="120" w:line="288" w:lineRule="auto"/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>Do pracujących – zgodnie z międzynarodowymi standardami – zaliczani są również uczniowie, z którymi zakłady pracy lub osoby fizyczne zawarły umowę o naukę zawodu lub przyuczenie do określonej pracy, jeżeli otrzymywali wynagrodzenie.</w:t>
      </w:r>
    </w:p>
    <w:p w:rsidR="007E5121" w:rsidRPr="00E9025E" w:rsidRDefault="007E5121" w:rsidP="00E47DA3">
      <w:pPr>
        <w:pStyle w:val="aga1"/>
        <w:numPr>
          <w:ilvl w:val="12"/>
          <w:numId w:val="0"/>
        </w:numPr>
        <w:spacing w:after="120" w:line="288" w:lineRule="auto"/>
        <w:rPr>
          <w:rFonts w:ascii="Fira Sans" w:eastAsiaTheme="minorHAnsi" w:hAnsi="Fira Sans" w:cstheme="minorBidi"/>
          <w:b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hAnsi="Fira Sans"/>
          <w:b/>
          <w:color w:val="000000" w:themeColor="text1"/>
          <w:sz w:val="19"/>
          <w:szCs w:val="19"/>
        </w:rPr>
        <w:t>Do pracujących nie są zaliczani</w:t>
      </w:r>
      <w:r w:rsidRPr="00E9025E">
        <w:rPr>
          <w:rFonts w:ascii="Fira Sans" w:hAnsi="Fira Sans"/>
          <w:color w:val="000000" w:themeColor="text1"/>
          <w:sz w:val="19"/>
          <w:szCs w:val="19"/>
        </w:rPr>
        <w:t>: wolontariusze oraz stażyści nieotrzymujący wynagrodzenia, osoby pracujące w rolnictwie indywidualnym zajmujące się wytwarzaniem produktów rolnych wyłącznie lub głównie na własne potrzeby.</w:t>
      </w:r>
    </w:p>
    <w:p w:rsidR="007E5121" w:rsidRPr="00E9025E" w:rsidRDefault="007E5121" w:rsidP="00E47DA3">
      <w:pPr>
        <w:pStyle w:val="aga1"/>
        <w:numPr>
          <w:ilvl w:val="12"/>
          <w:numId w:val="0"/>
        </w:numPr>
        <w:spacing w:after="120" w:line="288" w:lineRule="auto"/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eastAsiaTheme="minorHAnsi" w:hAnsi="Fira Sans" w:cstheme="minorBidi"/>
          <w:b/>
          <w:color w:val="000000" w:themeColor="text1"/>
          <w:sz w:val="19"/>
          <w:szCs w:val="19"/>
          <w:lang w:eastAsia="en-US"/>
        </w:rPr>
        <w:t>Pracujący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 według kategorii </w:t>
      </w:r>
      <w:r w:rsidRPr="00E9025E">
        <w:rPr>
          <w:rFonts w:ascii="Fira Sans" w:eastAsiaTheme="minorHAnsi" w:hAnsi="Fira Sans" w:cstheme="minorBidi"/>
          <w:b/>
          <w:color w:val="000000" w:themeColor="text1"/>
          <w:sz w:val="19"/>
          <w:szCs w:val="19"/>
          <w:lang w:eastAsia="en-US"/>
        </w:rPr>
        <w:t>statusu zatrudnienia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 (zgodnie z Międzynarodową Klasyfikacją Statusu Zatrudnienia ICSE-93):</w:t>
      </w:r>
    </w:p>
    <w:p w:rsidR="00F2633A" w:rsidRPr="00E9025E" w:rsidRDefault="007E5121" w:rsidP="00F2633A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pracujący na własny rachunek</w:t>
      </w:r>
      <w:r w:rsidRPr="00E9025E">
        <w:rPr>
          <w:color w:val="000000" w:themeColor="text1"/>
          <w:szCs w:val="19"/>
        </w:rPr>
        <w:t xml:space="preserve"> – osoba, która prowadzi własną działalność gospodarczą</w:t>
      </w:r>
      <w:r w:rsidR="00F2633A" w:rsidRPr="00E9025E">
        <w:rPr>
          <w:color w:val="000000" w:themeColor="text1"/>
          <w:szCs w:val="19"/>
        </w:rPr>
        <w:t xml:space="preserve">, </w:t>
      </w:r>
      <w:r w:rsidRPr="00E9025E">
        <w:rPr>
          <w:color w:val="000000" w:themeColor="text1"/>
          <w:szCs w:val="19"/>
        </w:rPr>
        <w:t>z tego:</w:t>
      </w:r>
    </w:p>
    <w:p w:rsidR="00F2633A" w:rsidRPr="00E9025E" w:rsidRDefault="007E5121" w:rsidP="00F2633A">
      <w:pPr>
        <w:widowControl w:val="0"/>
        <w:numPr>
          <w:ilvl w:val="0"/>
          <w:numId w:val="7"/>
        </w:numPr>
        <w:tabs>
          <w:tab w:val="clear" w:pos="720"/>
        </w:tabs>
        <w:spacing w:before="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pracodawca – osoba, która prowadzi własną działalność gospodarczą i zatrudnia co najmniej jednego pracownika,</w:t>
      </w:r>
    </w:p>
    <w:p w:rsidR="007E5121" w:rsidRPr="00E9025E" w:rsidRDefault="007E5121" w:rsidP="00F2633A">
      <w:pPr>
        <w:widowControl w:val="0"/>
        <w:numPr>
          <w:ilvl w:val="0"/>
          <w:numId w:val="7"/>
        </w:numPr>
        <w:tabs>
          <w:tab w:val="clear" w:pos="720"/>
        </w:tabs>
        <w:spacing w:before="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pracujący na własny rachunek niezatrudniający pracowników – osoba, która prowadzi własną działalność gospodarczą i nie zatrudnia pracowników, </w:t>
      </w:r>
    </w:p>
    <w:p w:rsidR="007E5121" w:rsidRPr="00E9025E" w:rsidRDefault="007E5121" w:rsidP="00E47DA3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zatrudniony (pracownik najemny)</w:t>
      </w:r>
      <w:r w:rsidRPr="00E9025E">
        <w:rPr>
          <w:color w:val="000000" w:themeColor="text1"/>
          <w:szCs w:val="19"/>
        </w:rPr>
        <w:t xml:space="preserve"> – osoba zatrudniona w jednostkach publicznych lub u pracodawcy prywatnego (na podstawie umowy o pracę lub umowy cywilnoprawnej); do tej kategorii zalicza się również osoby wykonujące pracę nakładczą oraz uczniów, z którymi zakłady pracy lub osoby fizyczne zawarły umowę o naukę zawodu lub przyuczenie do określonej pracy, jeżeli otrzymują wynagrodzenie,</w:t>
      </w:r>
    </w:p>
    <w:p w:rsidR="007E5121" w:rsidRPr="00E9025E" w:rsidRDefault="007E5121" w:rsidP="00E47DA3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pomagający bezpłatnie członek rodziny</w:t>
      </w:r>
      <w:r w:rsidRPr="00E9025E">
        <w:rPr>
          <w:color w:val="000000" w:themeColor="text1"/>
          <w:szCs w:val="19"/>
        </w:rPr>
        <w:t xml:space="preserve"> – osoba, która bez umownego wynagrodzenia pomaga w prowadzeniu rodzinnej działalności gospodarczej.</w:t>
      </w:r>
    </w:p>
    <w:p w:rsidR="007E5121" w:rsidRPr="00E9025E" w:rsidRDefault="007E5121" w:rsidP="00E47DA3">
      <w:pPr>
        <w:pStyle w:val="aga1"/>
        <w:numPr>
          <w:ilvl w:val="12"/>
          <w:numId w:val="0"/>
        </w:numPr>
        <w:spacing w:before="240" w:after="120" w:line="288" w:lineRule="auto"/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lastRenderedPageBreak/>
        <w:t xml:space="preserve">Do </w:t>
      </w:r>
      <w:r w:rsidRPr="00E9025E">
        <w:rPr>
          <w:rFonts w:ascii="Fira Sans" w:eastAsiaTheme="minorHAnsi" w:hAnsi="Fira Sans" w:cstheme="minorBidi"/>
          <w:b/>
          <w:color w:val="000000" w:themeColor="text1"/>
          <w:sz w:val="19"/>
          <w:szCs w:val="19"/>
          <w:lang w:eastAsia="en-US"/>
        </w:rPr>
        <w:t>pracujących na własny rachunek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 zaliczani są również agenci we wszystkich rodzajach agencji.</w:t>
      </w:r>
    </w:p>
    <w:p w:rsidR="007E5121" w:rsidRPr="00E9025E" w:rsidRDefault="007E5121" w:rsidP="00E47DA3">
      <w:pPr>
        <w:pStyle w:val="aga1"/>
        <w:numPr>
          <w:ilvl w:val="12"/>
          <w:numId w:val="0"/>
        </w:numPr>
        <w:spacing w:before="360" w:after="120" w:line="288" w:lineRule="auto"/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eastAsiaTheme="minorHAnsi" w:hAnsi="Fira Sans" w:cstheme="minorBidi"/>
          <w:b/>
          <w:color w:val="000000" w:themeColor="text1"/>
          <w:sz w:val="19"/>
          <w:szCs w:val="19"/>
          <w:u w:val="single"/>
          <w:lang w:eastAsia="en-US"/>
        </w:rPr>
        <w:t>Bezrobotni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 – osoby w wieku 15</w:t>
      </w:r>
      <w:r w:rsidR="00AA1C60"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>–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>74 lata, które spełniły jednocześnie trzy warunki:</w:t>
      </w:r>
    </w:p>
    <w:p w:rsidR="007E5121" w:rsidRPr="00E9025E" w:rsidRDefault="007E5121" w:rsidP="00F2633A">
      <w:pPr>
        <w:widowControl w:val="0"/>
        <w:numPr>
          <w:ilvl w:val="0"/>
          <w:numId w:val="6"/>
        </w:numPr>
        <w:spacing w:before="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w okresie badanego tygodnia nie były osobami pracującymi (zgodnie z definicją tej populacji),</w:t>
      </w:r>
    </w:p>
    <w:p w:rsidR="007E5121" w:rsidRPr="00E9025E" w:rsidRDefault="007E5121" w:rsidP="00F2633A">
      <w:pPr>
        <w:keepLines/>
        <w:widowControl w:val="0"/>
        <w:numPr>
          <w:ilvl w:val="0"/>
          <w:numId w:val="6"/>
        </w:numPr>
        <w:spacing w:before="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aktywnie poszukiwały pracy, tzn. podjęły konkretne działania w ciągu 4 tygodni (wliczając jako ostatni – tydzień badany), aby znaleźć pracę,</w:t>
      </w:r>
    </w:p>
    <w:p w:rsidR="007E5121" w:rsidRPr="00E9025E" w:rsidRDefault="007E5121" w:rsidP="00AA3A8D">
      <w:pPr>
        <w:keepLines/>
        <w:widowControl w:val="0"/>
        <w:numPr>
          <w:ilvl w:val="0"/>
          <w:numId w:val="6"/>
        </w:numPr>
        <w:spacing w:before="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były gotowe (zdolne) podjąć pracę w ciągu dwóch tygodni następujących po tygodniu badanym.</w:t>
      </w:r>
    </w:p>
    <w:p w:rsidR="007E5121" w:rsidRPr="00E9025E" w:rsidRDefault="007E5121" w:rsidP="00E47DA3">
      <w:pPr>
        <w:pStyle w:val="aga1"/>
        <w:keepLines/>
        <w:numPr>
          <w:ilvl w:val="12"/>
          <w:numId w:val="0"/>
        </w:numPr>
        <w:spacing w:before="120" w:after="120" w:line="288" w:lineRule="auto"/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Do bezrobotnych zostały zaliczone także osoby, które nie poszukiwały pracy, ponieważ </w:t>
      </w:r>
      <w:r w:rsidRPr="00E9025E">
        <w:rPr>
          <w:rFonts w:ascii="Fira Sans" w:eastAsiaTheme="minorHAnsi" w:hAnsi="Fira Sans" w:cstheme="minorBidi"/>
          <w:b/>
          <w:color w:val="000000" w:themeColor="text1"/>
          <w:sz w:val="19"/>
          <w:szCs w:val="19"/>
          <w:lang w:eastAsia="en-US"/>
        </w:rPr>
        <w:t>już ją znalazły i oczekiwały na jej rozpoczęcie przez okres nie dłuższy niż 3 miesiące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 oraz były gotowe tę pracę podjąć.</w:t>
      </w:r>
    </w:p>
    <w:p w:rsidR="007E5121" w:rsidRPr="00E9025E" w:rsidRDefault="007E5121" w:rsidP="00AA3A8D">
      <w:pPr>
        <w:pStyle w:val="aga1"/>
        <w:keepLines/>
        <w:numPr>
          <w:ilvl w:val="12"/>
          <w:numId w:val="0"/>
        </w:numPr>
        <w:spacing w:before="120" w:after="120" w:line="288" w:lineRule="auto"/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</w:pP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 xml:space="preserve">Osoby bezrobotne mogą być zaklasyfikowane do jednej z czterech </w:t>
      </w:r>
      <w:r w:rsidRPr="00E9025E">
        <w:rPr>
          <w:rFonts w:ascii="Fira Sans" w:eastAsiaTheme="minorHAnsi" w:hAnsi="Fira Sans" w:cstheme="minorBidi"/>
          <w:b/>
          <w:color w:val="000000" w:themeColor="text1"/>
          <w:sz w:val="19"/>
          <w:szCs w:val="19"/>
          <w:lang w:eastAsia="en-US"/>
        </w:rPr>
        <w:t>kategorii</w:t>
      </w:r>
      <w:r w:rsidRPr="00E9025E">
        <w:rPr>
          <w:rFonts w:ascii="Fira Sans" w:eastAsiaTheme="minorHAnsi" w:hAnsi="Fira Sans" w:cstheme="minorBidi"/>
          <w:color w:val="000000" w:themeColor="text1"/>
          <w:sz w:val="19"/>
          <w:szCs w:val="19"/>
          <w:lang w:eastAsia="en-US"/>
        </w:rPr>
        <w:t>:</w:t>
      </w:r>
    </w:p>
    <w:p w:rsidR="007E5121" w:rsidRPr="00E9025E" w:rsidRDefault="007E5121" w:rsidP="00E47DA3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bezrobotni, którzy </w:t>
      </w:r>
      <w:r w:rsidRPr="00E9025E">
        <w:rPr>
          <w:b/>
          <w:color w:val="000000" w:themeColor="text1"/>
          <w:szCs w:val="19"/>
        </w:rPr>
        <w:t>stracili pracę</w:t>
      </w:r>
      <w:r w:rsidRPr="00E9025E">
        <w:rPr>
          <w:color w:val="000000" w:themeColor="text1"/>
          <w:szCs w:val="19"/>
        </w:rPr>
        <w:t>, tzn. osoby, które odeszły z ostatniego miejsca pracy nie z własnej inicjatywy i natychmiast (tzn. w ciągu trzech miesięcy) rozpoczęły poszukiwanie pracy,</w:t>
      </w:r>
    </w:p>
    <w:p w:rsidR="007E5121" w:rsidRPr="00E9025E" w:rsidRDefault="007E5121" w:rsidP="00E47DA3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bezrobotni, którzy </w:t>
      </w:r>
      <w:r w:rsidRPr="00E9025E">
        <w:rPr>
          <w:b/>
          <w:color w:val="000000" w:themeColor="text1"/>
          <w:szCs w:val="19"/>
        </w:rPr>
        <w:t>zrezygnowali z pracy</w:t>
      </w:r>
      <w:r w:rsidRPr="00E9025E">
        <w:rPr>
          <w:color w:val="000000" w:themeColor="text1"/>
          <w:szCs w:val="19"/>
        </w:rPr>
        <w:t>, tzn. osoby, które odeszły z pracy z własnej inicjatywy i natychmiast rozpoczęły poszukiwanie pracy,</w:t>
      </w:r>
    </w:p>
    <w:p w:rsidR="007E5121" w:rsidRPr="00E9025E" w:rsidRDefault="007E5121" w:rsidP="00E47DA3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bezrobotni, którzy </w:t>
      </w:r>
      <w:r w:rsidRPr="00E9025E">
        <w:rPr>
          <w:b/>
          <w:color w:val="000000" w:themeColor="text1"/>
          <w:szCs w:val="19"/>
        </w:rPr>
        <w:t>powracają do pracy po przerwie</w:t>
      </w:r>
      <w:r w:rsidRPr="00E9025E">
        <w:rPr>
          <w:color w:val="000000" w:themeColor="text1"/>
          <w:szCs w:val="19"/>
        </w:rPr>
        <w:t>, w czasie której nie poszukiwali pracy przez minimum 3 miesiące,</w:t>
      </w:r>
    </w:p>
    <w:p w:rsidR="007E5121" w:rsidRPr="00E9025E" w:rsidRDefault="007E5121" w:rsidP="00E47DA3">
      <w:pPr>
        <w:widowControl w:val="0"/>
        <w:numPr>
          <w:ilvl w:val="0"/>
          <w:numId w:val="4"/>
        </w:numPr>
        <w:spacing w:before="0" w:line="288" w:lineRule="auto"/>
        <w:ind w:left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bezrobotni, którzy </w:t>
      </w:r>
      <w:r w:rsidRPr="00E9025E">
        <w:rPr>
          <w:b/>
          <w:color w:val="000000" w:themeColor="text1"/>
          <w:szCs w:val="19"/>
        </w:rPr>
        <w:t>nigdy nie pracowali i poszukują pierwszej w życiu pracy</w:t>
      </w:r>
      <w:r w:rsidRPr="00E9025E">
        <w:rPr>
          <w:color w:val="000000" w:themeColor="text1"/>
          <w:szCs w:val="19"/>
        </w:rPr>
        <w:t>.</w:t>
      </w:r>
    </w:p>
    <w:p w:rsidR="007E5121" w:rsidRPr="00E9025E" w:rsidRDefault="007E5121" w:rsidP="00AA3A8D">
      <w:pPr>
        <w:widowControl w:val="0"/>
        <w:spacing w:line="288" w:lineRule="auto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</w:rPr>
        <w:t>Bezrobotni długotrwale</w:t>
      </w:r>
      <w:r w:rsidRPr="00E9025E">
        <w:rPr>
          <w:color w:val="000000" w:themeColor="text1"/>
          <w:szCs w:val="19"/>
        </w:rPr>
        <w:t xml:space="preserve"> – według definicji krajowej są to osoby bezrobotne poszukujące pracy przez okres </w:t>
      </w:r>
      <w:r w:rsidRPr="00E9025E">
        <w:rPr>
          <w:b/>
          <w:color w:val="000000" w:themeColor="text1"/>
          <w:szCs w:val="19"/>
        </w:rPr>
        <w:t>13 miesięcy i więcej</w:t>
      </w:r>
      <w:r w:rsidRPr="00E9025E">
        <w:rPr>
          <w:color w:val="000000" w:themeColor="text1"/>
          <w:szCs w:val="19"/>
        </w:rPr>
        <w:t xml:space="preserve">; natomiast według definicji stosowanej przez Eurostat są to osoby bezrobotne poszukujące pracy przez okres </w:t>
      </w:r>
      <w:r w:rsidRPr="00E9025E">
        <w:rPr>
          <w:b/>
          <w:color w:val="000000" w:themeColor="text1"/>
          <w:szCs w:val="19"/>
        </w:rPr>
        <w:t>12 miesięcy i więcej</w:t>
      </w:r>
      <w:r w:rsidRPr="00E9025E">
        <w:rPr>
          <w:color w:val="000000" w:themeColor="text1"/>
          <w:szCs w:val="19"/>
        </w:rPr>
        <w:t>.</w:t>
      </w:r>
    </w:p>
    <w:p w:rsidR="007E5121" w:rsidRPr="00E9025E" w:rsidRDefault="007E5121" w:rsidP="00AA3A8D">
      <w:pPr>
        <w:widowControl w:val="0"/>
        <w:spacing w:before="360" w:line="288" w:lineRule="auto"/>
        <w:jc w:val="both"/>
        <w:rPr>
          <w:color w:val="000000" w:themeColor="text1"/>
          <w:szCs w:val="19"/>
        </w:rPr>
      </w:pPr>
      <w:r w:rsidRPr="00E9025E">
        <w:rPr>
          <w:b/>
          <w:color w:val="000000" w:themeColor="text1"/>
          <w:szCs w:val="19"/>
          <w:u w:val="single"/>
        </w:rPr>
        <w:t>Ludność bierna zawodowo</w:t>
      </w:r>
      <w:r w:rsidRPr="00E9025E">
        <w:rPr>
          <w:color w:val="000000" w:themeColor="text1"/>
          <w:szCs w:val="19"/>
        </w:rPr>
        <w:t>, tzn. pozostająca poza siłą roboczą są to wszystkie osoby w wieku 15</w:t>
      </w:r>
      <w:r w:rsidR="00AA1C60" w:rsidRPr="00E9025E">
        <w:rPr>
          <w:color w:val="000000" w:themeColor="text1"/>
          <w:szCs w:val="19"/>
        </w:rPr>
        <w:t>–</w:t>
      </w:r>
      <w:r w:rsidRPr="00E9025E">
        <w:rPr>
          <w:color w:val="000000" w:themeColor="text1"/>
          <w:szCs w:val="19"/>
        </w:rPr>
        <w:t>89 lat, które nie zostały zaklasyfikowane jako pracujące lub bezrobotne tzn. osoby, które w badanym tygodniu:</w:t>
      </w:r>
    </w:p>
    <w:p w:rsidR="007E5121" w:rsidRPr="00E9025E" w:rsidRDefault="007E5121" w:rsidP="00F2633A">
      <w:pPr>
        <w:widowControl w:val="0"/>
        <w:numPr>
          <w:ilvl w:val="0"/>
          <w:numId w:val="6"/>
        </w:numPr>
        <w:spacing w:before="0" w:after="6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nie pracowały, nie miały pracy i jej nie poszukiwały,</w:t>
      </w:r>
    </w:p>
    <w:p w:rsidR="007E5121" w:rsidRPr="00E9025E" w:rsidRDefault="007E5121" w:rsidP="00F2633A">
      <w:pPr>
        <w:widowControl w:val="0"/>
        <w:numPr>
          <w:ilvl w:val="0"/>
          <w:numId w:val="6"/>
        </w:numPr>
        <w:spacing w:before="0" w:after="6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nie pracowały, poszukiwały pracy, ale nie w aktywny sposób lub poszukiwały pracy aktywnie, ale nie były zdolne (gotowe) do jej podjęcia w ciągu dwóch tygodni następujących po tygodniu badanym,</w:t>
      </w:r>
    </w:p>
    <w:p w:rsidR="00F2633A" w:rsidRPr="00E9025E" w:rsidRDefault="007E5121" w:rsidP="00E47DA3">
      <w:pPr>
        <w:widowControl w:val="0"/>
        <w:numPr>
          <w:ilvl w:val="0"/>
          <w:numId w:val="6"/>
        </w:numPr>
        <w:spacing w:before="0" w:after="60" w:line="288" w:lineRule="auto"/>
        <w:ind w:left="284" w:hanging="284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nie pracowały i nie poszukiwały pracy, ponieważ już ją znalazły i oczekiwały na jej rozpoczęcie </w:t>
      </w:r>
      <w:r w:rsidR="00DE0CDD" w:rsidRPr="00E9025E">
        <w:rPr>
          <w:color w:val="000000" w:themeColor="text1"/>
          <w:szCs w:val="19"/>
        </w:rPr>
        <w:br/>
      </w:r>
      <w:r w:rsidRPr="00E9025E">
        <w:rPr>
          <w:color w:val="000000" w:themeColor="text1"/>
          <w:szCs w:val="19"/>
        </w:rPr>
        <w:t>w okresie:</w:t>
      </w:r>
    </w:p>
    <w:p w:rsidR="00F2633A" w:rsidRPr="00E9025E" w:rsidRDefault="00DE0CDD" w:rsidP="00F2633A">
      <w:pPr>
        <w:widowControl w:val="0"/>
        <w:numPr>
          <w:ilvl w:val="0"/>
          <w:numId w:val="8"/>
        </w:numPr>
        <w:tabs>
          <w:tab w:val="clear" w:pos="720"/>
        </w:tabs>
        <w:spacing w:before="0" w:after="6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 xml:space="preserve">dłuższym niż trzy miesiące, </w:t>
      </w:r>
    </w:p>
    <w:p w:rsidR="00DE0CDD" w:rsidRPr="00E9025E" w:rsidRDefault="00DE0CDD" w:rsidP="00F2633A">
      <w:pPr>
        <w:widowControl w:val="0"/>
        <w:numPr>
          <w:ilvl w:val="0"/>
          <w:numId w:val="8"/>
        </w:numPr>
        <w:tabs>
          <w:tab w:val="clear" w:pos="720"/>
        </w:tabs>
        <w:spacing w:before="0" w:after="60" w:line="288" w:lineRule="auto"/>
        <w:ind w:left="567" w:hanging="283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do 3 miesięcy, ale nie były gotowe tej pracy podjąć.</w:t>
      </w:r>
    </w:p>
    <w:p w:rsidR="002D6448" w:rsidRPr="00E9025E" w:rsidRDefault="00DE0CDD" w:rsidP="00AA3A8D">
      <w:pPr>
        <w:spacing w:line="288" w:lineRule="auto"/>
        <w:jc w:val="both"/>
        <w:rPr>
          <w:color w:val="000000" w:themeColor="text1"/>
          <w:szCs w:val="19"/>
        </w:rPr>
      </w:pPr>
      <w:r w:rsidRPr="00E9025E">
        <w:rPr>
          <w:color w:val="000000" w:themeColor="text1"/>
          <w:szCs w:val="19"/>
        </w:rPr>
        <w:t>Od 2021 roku przyczyny bierności określane są dla populacji biernych zawodowo w wieku 15</w:t>
      </w:r>
      <w:r w:rsidR="00AA1C60" w:rsidRPr="00E9025E">
        <w:rPr>
          <w:color w:val="000000" w:themeColor="text1"/>
          <w:szCs w:val="19"/>
        </w:rPr>
        <w:t>–</w:t>
      </w:r>
      <w:r w:rsidRPr="00E9025E">
        <w:rPr>
          <w:color w:val="000000" w:themeColor="text1"/>
          <w:szCs w:val="19"/>
        </w:rPr>
        <w:t>74 lata. Wśród tych biernych zawodowo wyróżnia się grupę zniechęconych, do której należą osoby nieposzukujące pracy, ponieważ są przekonane, że jej nie znajdą.</w:t>
      </w:r>
      <w:bookmarkStart w:id="0" w:name="_GoBack"/>
      <w:bookmarkEnd w:id="0"/>
    </w:p>
    <w:sectPr w:rsidR="002D6448" w:rsidRPr="00E9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B34" w:rsidRDefault="00204B34" w:rsidP="002D6448">
      <w:pPr>
        <w:spacing w:before="0" w:after="0" w:line="240" w:lineRule="auto"/>
      </w:pPr>
      <w:r>
        <w:separator/>
      </w:r>
    </w:p>
  </w:endnote>
  <w:endnote w:type="continuationSeparator" w:id="0">
    <w:p w:rsidR="00204B34" w:rsidRDefault="00204B34" w:rsidP="002D64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B34" w:rsidRDefault="00204B34" w:rsidP="002D6448">
      <w:pPr>
        <w:spacing w:before="0" w:after="0" w:line="240" w:lineRule="auto"/>
      </w:pPr>
      <w:r>
        <w:separator/>
      </w:r>
    </w:p>
  </w:footnote>
  <w:footnote w:type="continuationSeparator" w:id="0">
    <w:p w:rsidR="00204B34" w:rsidRDefault="00204B34" w:rsidP="002D6448">
      <w:pPr>
        <w:spacing w:before="0" w:after="0" w:line="240" w:lineRule="auto"/>
      </w:pPr>
      <w:r>
        <w:continuationSeparator/>
      </w:r>
    </w:p>
  </w:footnote>
  <w:footnote w:id="1">
    <w:p w:rsidR="002D6448" w:rsidRPr="001F7394" w:rsidRDefault="002D6448" w:rsidP="00B7040B">
      <w:pPr>
        <w:pStyle w:val="Tekstprzypisudolnego"/>
        <w:jc w:val="both"/>
        <w:rPr>
          <w:sz w:val="16"/>
          <w:szCs w:val="16"/>
        </w:rPr>
      </w:pPr>
      <w:r w:rsidRPr="001F7394">
        <w:rPr>
          <w:rStyle w:val="Odwoanieprzypisudolnego"/>
          <w:sz w:val="16"/>
          <w:szCs w:val="16"/>
        </w:rPr>
        <w:footnoteRef/>
      </w:r>
      <w:r w:rsidRPr="001F7394">
        <w:rPr>
          <w:sz w:val="16"/>
          <w:szCs w:val="16"/>
        </w:rPr>
        <w:t xml:space="preserve"> Nowa rezolucja, określona kamieniem milowym w międzynarodowej statystyce pracy, zastąpiła dotychczas obowiązującą rezolucję, dotyczącą definiowania pracujących, bezrobotnych oraz niepełnozatrudnionych, przyjętą na XIII ICLS w 1982 r. i obowiązującą przez 30 lat, więcej pod adresem: </w:t>
      </w:r>
      <w:hyperlink r:id="rId1" w:tooltip="Link do zmian dotyczących nowej rezolucji" w:history="1">
        <w:r w:rsidRPr="008B3438">
          <w:rPr>
            <w:rStyle w:val="Hipercze"/>
            <w:rFonts w:cstheme="minorBidi"/>
            <w:color w:val="000000" w:themeColor="text1"/>
            <w:sz w:val="16"/>
            <w:szCs w:val="16"/>
            <w:u w:val="none"/>
          </w:rPr>
          <w:t>https://ilostat.ilo.org/about/standards/icls/</w:t>
        </w:r>
      </w:hyperlink>
    </w:p>
  </w:footnote>
  <w:footnote w:id="2">
    <w:p w:rsidR="002D6448" w:rsidRPr="001F7394" w:rsidRDefault="002D6448" w:rsidP="00B7040B">
      <w:pPr>
        <w:pStyle w:val="Tekstprzypisudolnego"/>
        <w:rPr>
          <w:sz w:val="16"/>
          <w:szCs w:val="16"/>
        </w:rPr>
      </w:pPr>
      <w:r w:rsidRPr="001F7394">
        <w:rPr>
          <w:rStyle w:val="Odwoanieprzypisudolnego"/>
          <w:sz w:val="16"/>
          <w:szCs w:val="16"/>
        </w:rPr>
        <w:footnoteRef/>
      </w:r>
      <w:r w:rsidRPr="001F7394">
        <w:rPr>
          <w:sz w:val="16"/>
          <w:szCs w:val="16"/>
        </w:rPr>
        <w:t xml:space="preserve"> Pełen tekst rozporządzenia dostęp</w:t>
      </w:r>
      <w:r w:rsidR="001F7394">
        <w:rPr>
          <w:sz w:val="16"/>
          <w:szCs w:val="16"/>
        </w:rPr>
        <w:t>ny jest na stron</w:t>
      </w:r>
      <w:r w:rsidR="001F7394" w:rsidRPr="00B7040B">
        <w:rPr>
          <w:color w:val="000000" w:themeColor="text1"/>
          <w:sz w:val="16"/>
          <w:szCs w:val="16"/>
        </w:rPr>
        <w:t xml:space="preserve">ie: </w:t>
      </w:r>
      <w:hyperlink r:id="rId2" w:tooltip="Link do rozporządzenia" w:history="1">
        <w:r w:rsidR="00B7040B" w:rsidRPr="00B7040B">
          <w:rPr>
            <w:rStyle w:val="Hipercze"/>
            <w:rFonts w:cstheme="minorBidi"/>
            <w:color w:val="000000" w:themeColor="text1"/>
            <w:sz w:val="16"/>
            <w:szCs w:val="16"/>
            <w:u w:val="none"/>
          </w:rPr>
          <w:t>https://eur-lex.europa.eu/search.html?scope=EURLEX&amp;text=2019%2F1700&amp;lang=pl&amp;type=quick&amp;qid=1607068184285</w:t>
        </w:r>
      </w:hyperlink>
    </w:p>
  </w:footnote>
  <w:footnote w:id="3">
    <w:p w:rsidR="002D6448" w:rsidRPr="001B350E" w:rsidRDefault="002D6448" w:rsidP="002D6448">
      <w:pPr>
        <w:pStyle w:val="Tekstprzypisudolnego"/>
        <w:rPr>
          <w:sz w:val="16"/>
          <w:szCs w:val="16"/>
        </w:rPr>
      </w:pPr>
      <w:r w:rsidRPr="001B350E">
        <w:rPr>
          <w:rStyle w:val="Odwoanieprzypisudolnego"/>
          <w:sz w:val="16"/>
          <w:szCs w:val="16"/>
        </w:rPr>
        <w:footnoteRef/>
      </w:r>
      <w:r w:rsidRPr="001B350E">
        <w:rPr>
          <w:sz w:val="16"/>
          <w:szCs w:val="16"/>
        </w:rPr>
        <w:t xml:space="preserve"> Pełen tekst rozporządzenia dostęp</w:t>
      </w:r>
      <w:r w:rsidR="001B350E">
        <w:rPr>
          <w:sz w:val="16"/>
          <w:szCs w:val="16"/>
        </w:rPr>
        <w:t>ny jest na stronie:</w:t>
      </w:r>
      <w:r w:rsidR="001B350E" w:rsidRPr="00B7040B">
        <w:rPr>
          <w:color w:val="000000" w:themeColor="text1"/>
          <w:sz w:val="16"/>
          <w:szCs w:val="16"/>
        </w:rPr>
        <w:t xml:space="preserve"> </w:t>
      </w:r>
      <w:hyperlink r:id="rId3" w:tooltip="Link do rozporządzenia" w:history="1">
        <w:r w:rsidR="00B7040B" w:rsidRPr="00B7040B">
          <w:rPr>
            <w:rStyle w:val="Hipercze"/>
            <w:rFonts w:cstheme="minorBidi"/>
            <w:color w:val="000000" w:themeColor="text1"/>
            <w:sz w:val="16"/>
            <w:szCs w:val="16"/>
            <w:u w:val="none"/>
          </w:rPr>
          <w:t>https://eur-lex.europa.eu/search.html?scope=EURLEX&amp;text=2019%2F2240&amp;lang=pl&amp;type=quick&amp;qid=1607068403345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9F49E1"/>
    <w:multiLevelType w:val="multilevel"/>
    <w:tmpl w:val="1B5C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5"/>
        <w:szCs w:val="15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5"/>
        <w:szCs w:val="1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F1E88"/>
    <w:multiLevelType w:val="multilevel"/>
    <w:tmpl w:val="858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5"/>
        <w:szCs w:val="1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0D0B64"/>
    <w:multiLevelType w:val="hybridMultilevel"/>
    <w:tmpl w:val="BB203F42"/>
    <w:lvl w:ilvl="0" w:tplc="30E87CF2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  <w:sz w:val="15"/>
        <w:szCs w:val="15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 w15:restartNumberingAfterBreak="0">
    <w:nsid w:val="4F5C41A2"/>
    <w:multiLevelType w:val="hybridMultilevel"/>
    <w:tmpl w:val="2CC02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F4ABC"/>
    <w:multiLevelType w:val="multilevel"/>
    <w:tmpl w:val="8F32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5"/>
        <w:szCs w:val="15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5"/>
        <w:szCs w:val="15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F26679"/>
    <w:multiLevelType w:val="hybridMultilevel"/>
    <w:tmpl w:val="A96ADC66"/>
    <w:lvl w:ilvl="0" w:tplc="48624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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3C"/>
    <w:rsid w:val="00006E4F"/>
    <w:rsid w:val="00163CE4"/>
    <w:rsid w:val="001B350E"/>
    <w:rsid w:val="001F7394"/>
    <w:rsid w:val="00204B34"/>
    <w:rsid w:val="002D6448"/>
    <w:rsid w:val="00341C2B"/>
    <w:rsid w:val="003C1850"/>
    <w:rsid w:val="003E46A5"/>
    <w:rsid w:val="004639CD"/>
    <w:rsid w:val="00496DB6"/>
    <w:rsid w:val="004C7AF7"/>
    <w:rsid w:val="004D4FE9"/>
    <w:rsid w:val="00570D4E"/>
    <w:rsid w:val="005B5539"/>
    <w:rsid w:val="00762668"/>
    <w:rsid w:val="007E5121"/>
    <w:rsid w:val="008B3438"/>
    <w:rsid w:val="008C0D3C"/>
    <w:rsid w:val="00910A5B"/>
    <w:rsid w:val="009E26DD"/>
    <w:rsid w:val="00AA1C60"/>
    <w:rsid w:val="00AA3A8D"/>
    <w:rsid w:val="00B7040B"/>
    <w:rsid w:val="00B71F33"/>
    <w:rsid w:val="00B752DC"/>
    <w:rsid w:val="00B75EFD"/>
    <w:rsid w:val="00DE0CDD"/>
    <w:rsid w:val="00E47DA3"/>
    <w:rsid w:val="00E634A3"/>
    <w:rsid w:val="00E9025E"/>
    <w:rsid w:val="00F2633A"/>
    <w:rsid w:val="00F5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B8A3B-AE5D-434C-9E39-8CFB2A47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D6448"/>
    <w:pPr>
      <w:spacing w:before="120" w:after="120" w:line="240" w:lineRule="exact"/>
    </w:pPr>
    <w:rPr>
      <w:rFonts w:ascii="Fira Sans" w:hAnsi="Fira Sans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D6448"/>
    <w:rPr>
      <w:rFonts w:cs="Times New Roman"/>
      <w:color w:val="0000FF"/>
      <w:u w:val="single"/>
    </w:rPr>
  </w:style>
  <w:style w:type="paragraph" w:styleId="Akapitzlist">
    <w:name w:val="List Paragraph"/>
    <w:aliases w:val="Normalny BS"/>
    <w:basedOn w:val="Normalny"/>
    <w:uiPriority w:val="34"/>
    <w:qFormat/>
    <w:rsid w:val="002D6448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2D64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2D6448"/>
    <w:rPr>
      <w:rFonts w:ascii="Fira Sans" w:hAnsi="Fira Sans"/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2D6448"/>
    <w:rPr>
      <w:vertAlign w:val="superscript"/>
    </w:rPr>
  </w:style>
  <w:style w:type="paragraph" w:customStyle="1" w:styleId="aga1">
    <w:name w:val="aga1"/>
    <w:basedOn w:val="Normalny"/>
    <w:rsid w:val="007E5121"/>
    <w:pPr>
      <w:widowControl w:val="0"/>
      <w:spacing w:before="0" w:after="0" w:line="240" w:lineRule="auto"/>
      <w:ind w:firstLine="340"/>
      <w:jc w:val="both"/>
    </w:pPr>
    <w:rPr>
      <w:rFonts w:ascii="Times New Roman" w:eastAsia="Times New Roman" w:hAnsi="Times New Roman" w:cs="Times New Roman"/>
      <w:sz w:val="22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902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gov.pl/obszary-tematyczne/rynek-pracy/pracujacy-bezrobotni-bierni-zawodowo-wg-bael/informacja-glownego-urzedu-statystycznego-na-temat-zmian-wprowadzanych-od-2021-r-w-bael,35,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search.html?scope=EURLEX&amp;text=2019%2F2240&amp;lang=pl&amp;type=quick&amp;qid=1607068403345" TargetMode="External"/><Relationship Id="rId2" Type="http://schemas.openxmlformats.org/officeDocument/2006/relationships/hyperlink" Target="https://eur-lex.europa.eu/search.html?scope=EURLEX&amp;text=2019%2F1700&amp;lang=pl&amp;type=quick&amp;qid=1607068184285" TargetMode="External"/><Relationship Id="rId1" Type="http://schemas.openxmlformats.org/officeDocument/2006/relationships/hyperlink" Target="https://ilostat.ilo.org/about/standards/icl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C31-27E1-4FFD-8066-724AD7CF5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Dziedzic Anna</dc:creator>
  <cp:keywords/>
  <dc:description/>
  <cp:lastModifiedBy>Kłósek Marta</cp:lastModifiedBy>
  <cp:revision>2</cp:revision>
  <dcterms:created xsi:type="dcterms:W3CDTF">2022-03-23T08:16:00Z</dcterms:created>
  <dcterms:modified xsi:type="dcterms:W3CDTF">2022-03-23T08:16:00Z</dcterms:modified>
</cp:coreProperties>
</file>