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995CC" w14:textId="77777777" w:rsidR="0020304D" w:rsidRDefault="0020304D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</w:pPr>
    </w:p>
    <w:p w14:paraId="7064A4EC" w14:textId="77777777" w:rsidR="0020304D" w:rsidRDefault="0020304D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</w:pPr>
    </w:p>
    <w:p w14:paraId="1263F32D" w14:textId="62CD5C0E" w:rsidR="0044443C" w:rsidRPr="00E50B3D" w:rsidRDefault="00E50B3D" w:rsidP="00871F8D">
      <w:pPr>
        <w:pStyle w:val="Tekstpodstawowy"/>
        <w:kinsoku w:val="0"/>
        <w:overflowPunct w:val="0"/>
        <w:spacing w:before="120"/>
        <w:ind w:left="0"/>
        <w:jc w:val="both"/>
        <w:rPr>
          <w:rFonts w:ascii="Fira Sans Extra Condensed SemiB" w:hAnsi="Fira Sans Extra Condensed SemiB" w:cs="Fira Sans Extra Condensed SemiB"/>
          <w:spacing w:val="-4"/>
          <w:w w:val="95"/>
          <w:sz w:val="40"/>
          <w:szCs w:val="40"/>
          <w:lang w:val="en-US"/>
        </w:rPr>
      </w:pPr>
      <w:r w:rsidRPr="00E50B3D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  <w:t>Financial results of cultural institutions in</w:t>
      </w:r>
      <w:r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  <w:t xml:space="preserve"> </w:t>
      </w:r>
      <w:r w:rsidRPr="00E50B3D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  <w:t xml:space="preserve">1st </w:t>
      </w:r>
      <w:r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  <w:t>half</w:t>
      </w:r>
      <w:r w:rsidRPr="00E50B3D">
        <w:rPr>
          <w:rFonts w:ascii="Fira Sans Extra Condensed SemiB" w:hAnsi="Fira Sans Extra Condensed SemiB" w:cs="Fira Sans Extra Condensed SemiB"/>
          <w:bCs/>
          <w:spacing w:val="-4"/>
          <w:w w:val="95"/>
          <w:sz w:val="40"/>
          <w:szCs w:val="40"/>
          <w:lang w:val="en-US"/>
        </w:rPr>
        <w:t xml:space="preserve"> of 2020</w:t>
      </w:r>
    </w:p>
    <w:p w14:paraId="37FC8772" w14:textId="0EC3670B" w:rsidR="00C96E59" w:rsidRPr="00E50B3D" w:rsidRDefault="00C96E59" w:rsidP="00D83F12">
      <w:pPr>
        <w:pStyle w:val="Tekstpodstawowy"/>
        <w:kinsoku w:val="0"/>
        <w:overflowPunct w:val="0"/>
        <w:ind w:left="102" w:right="272"/>
        <w:rPr>
          <w:rFonts w:ascii="Fira Sans Extra Condensed SemiB" w:hAnsi="Fira Sans Extra Condensed SemiB" w:cs="Fira Sans Extra Condensed SemiB"/>
          <w:sz w:val="32"/>
          <w:szCs w:val="32"/>
          <w:lang w:val="en-US"/>
        </w:rPr>
      </w:pPr>
    </w:p>
    <w:p w14:paraId="2154B8FC" w14:textId="600A6224" w:rsidR="005C00F7" w:rsidRPr="005C00F7" w:rsidRDefault="005C00F7" w:rsidP="005C00F7">
      <w:pPr>
        <w:pStyle w:val="LID"/>
        <w:rPr>
          <w:lang w:val="en-GB"/>
        </w:rPr>
      </w:pPr>
      <w:r w:rsidRPr="00C13084">
        <w:rPr>
          <w:b w:val="0"/>
          <w:bCs/>
          <w:highlight w:val="yellow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539026DE" wp14:editId="77192006">
                <wp:simplePos x="0" y="0"/>
                <wp:positionH relativeFrom="margin">
                  <wp:align>left</wp:align>
                </wp:positionH>
                <wp:positionV relativeFrom="paragraph">
                  <wp:posOffset>83764</wp:posOffset>
                </wp:positionV>
                <wp:extent cx="1958340" cy="1162050"/>
                <wp:effectExtent l="0" t="0" r="381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340" cy="11620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96171" w14:textId="7144BE02" w:rsidR="00C456E2" w:rsidRPr="005C00F7" w:rsidRDefault="00C456E2" w:rsidP="007352A0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5EAECD" wp14:editId="5A7D98C1">
                                  <wp:extent cx="336550" cy="330200"/>
                                  <wp:effectExtent l="0" t="0" r="635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C00F7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97D17" w:rsidRPr="005C00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7</w:t>
                            </w:r>
                            <w:r w:rsidR="0082535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197D17" w:rsidRPr="005C00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C320E9" w:rsidRPr="005C00F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7F0BCD54" w14:textId="6E345CB0" w:rsidR="005C00F7" w:rsidRPr="00744F87" w:rsidRDefault="005C00F7" w:rsidP="005C00F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</w:t>
                            </w:r>
                            <w:r w:rsidRPr="00744F87">
                              <w:rPr>
                                <w:lang w:val="en-GB"/>
                              </w:rPr>
                              <w:t>crease of total revenues in comparison to previous year</w:t>
                            </w:r>
                          </w:p>
                          <w:p w14:paraId="4E7C02D1" w14:textId="4CE818CA" w:rsidR="00C456E2" w:rsidRPr="005C00F7" w:rsidRDefault="00C456E2" w:rsidP="005C00F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026D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6pt;width:154.2pt;height:91.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" fillcolor="#001d77" stroked="f">
                <v:textbox>
                  <w:txbxContent>
                    <w:p w14:paraId="20D96171" w14:textId="7144BE02" w:rsidR="00C456E2" w:rsidRPr="005C00F7" w:rsidRDefault="00C456E2" w:rsidP="007352A0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5EAECD" wp14:editId="5A7D98C1">
                            <wp:extent cx="336550" cy="330200"/>
                            <wp:effectExtent l="0" t="0" r="635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C00F7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97D17" w:rsidRPr="005C00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7</w:t>
                      </w:r>
                      <w:r w:rsidR="0082535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197D17" w:rsidRPr="005C00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C320E9" w:rsidRPr="005C00F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7F0BCD54" w14:textId="6E345CB0" w:rsidR="005C00F7" w:rsidRPr="00744F87" w:rsidRDefault="005C00F7" w:rsidP="005C00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De</w:t>
                      </w:r>
                      <w:r w:rsidRPr="00744F87">
                        <w:rPr>
                          <w:lang w:val="en-GB"/>
                        </w:rPr>
                        <w:t>crease of total revenues in comparison to previous year</w:t>
                      </w:r>
                    </w:p>
                    <w:p w14:paraId="4E7C02D1" w14:textId="4CE818CA" w:rsidR="00C456E2" w:rsidRPr="005C00F7" w:rsidRDefault="00C456E2" w:rsidP="005C00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A219A">
        <w:rPr>
          <w:lang w:val="en-GB"/>
        </w:rPr>
        <w:t>In 1</w:t>
      </w:r>
      <w:r w:rsidRPr="0020304D">
        <w:rPr>
          <w:lang w:val="en-GB"/>
        </w:rPr>
        <w:t>st</w:t>
      </w:r>
      <w:r w:rsidRPr="002A219A">
        <w:rPr>
          <w:lang w:val="en-GB"/>
        </w:rPr>
        <w:t xml:space="preserve"> </w:t>
      </w:r>
      <w:r>
        <w:rPr>
          <w:lang w:val="en-GB"/>
        </w:rPr>
        <w:t xml:space="preserve">half </w:t>
      </w:r>
      <w:r w:rsidRPr="002A219A">
        <w:rPr>
          <w:lang w:val="en-GB"/>
        </w:rPr>
        <w:t xml:space="preserve">of 2020, financial results of cultural institutions were </w:t>
      </w:r>
      <w:r>
        <w:rPr>
          <w:lang w:val="en-GB"/>
        </w:rPr>
        <w:t>lower</w:t>
      </w:r>
      <w:r w:rsidRPr="002A219A">
        <w:rPr>
          <w:lang w:val="en-GB"/>
        </w:rPr>
        <w:t xml:space="preserve"> than those achieved </w:t>
      </w:r>
      <w:r>
        <w:rPr>
          <w:lang w:val="en-GB"/>
        </w:rPr>
        <w:t>in comparable period of the previous year. Total revenues de</w:t>
      </w:r>
      <w:r w:rsidRPr="002A219A">
        <w:rPr>
          <w:lang w:val="en-GB"/>
        </w:rPr>
        <w:t>crease</w:t>
      </w:r>
      <w:r>
        <w:rPr>
          <w:lang w:val="en-GB"/>
        </w:rPr>
        <w:t>d</w:t>
      </w:r>
      <w:r w:rsidRPr="002A219A">
        <w:rPr>
          <w:lang w:val="en-GB"/>
        </w:rPr>
        <w:t xml:space="preserve"> by </w:t>
      </w:r>
      <w:r>
        <w:rPr>
          <w:lang w:val="en-GB"/>
        </w:rPr>
        <w:t>7.0</w:t>
      </w:r>
      <w:r w:rsidRPr="002A219A">
        <w:rPr>
          <w:lang w:val="en-GB"/>
        </w:rPr>
        <w:t xml:space="preserve">% and total costs by </w:t>
      </w:r>
      <w:r>
        <w:rPr>
          <w:lang w:val="en-GB"/>
        </w:rPr>
        <w:t>10.2</w:t>
      </w:r>
      <w:r w:rsidRPr="002A219A">
        <w:rPr>
          <w:lang w:val="en-GB"/>
        </w:rPr>
        <w:t xml:space="preserve">%. Investment outlays </w:t>
      </w:r>
      <w:r>
        <w:rPr>
          <w:lang w:val="en-GB"/>
        </w:rPr>
        <w:t xml:space="preserve">remained at the same level as in comparable period of the previous year. </w:t>
      </w:r>
    </w:p>
    <w:p w14:paraId="6DE4EE30" w14:textId="4475F398" w:rsidR="00BD730B" w:rsidRPr="005C00F7" w:rsidRDefault="00DB3548" w:rsidP="00BD730B">
      <w:pPr>
        <w:pStyle w:val="LID"/>
        <w:rPr>
          <w:lang w:val="en-US"/>
        </w:rPr>
      </w:pPr>
      <w:r w:rsidRPr="00633014">
        <w:rPr>
          <w:b w:val="0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37DD8E92" wp14:editId="49B34F9B">
                <wp:simplePos x="0" y="0"/>
                <wp:positionH relativeFrom="column">
                  <wp:posOffset>5270500</wp:posOffset>
                </wp:positionH>
                <wp:positionV relativeFrom="paragraph">
                  <wp:posOffset>31750</wp:posOffset>
                </wp:positionV>
                <wp:extent cx="1725295" cy="1078230"/>
                <wp:effectExtent l="0" t="0" r="0" b="0"/>
                <wp:wrapTight wrapText="bothSides">
                  <wp:wrapPolygon edited="0">
                    <wp:start x="715" y="0"/>
                    <wp:lineTo x="715" y="20989"/>
                    <wp:lineTo x="20749" y="20989"/>
                    <wp:lineTo x="20749" y="0"/>
                    <wp:lineTo x="715" y="0"/>
                  </wp:wrapPolygon>
                </wp:wrapTight>
                <wp:docPr id="60" name="Pole tekstow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78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38B60" w14:textId="23A68D6E" w:rsidR="00C456E2" w:rsidRPr="006D7DF7" w:rsidRDefault="00C456E2" w:rsidP="00A12BE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8E92" id="Pole tekstowe 60" o:spid="_x0000_s1027" type="#_x0000_t202" style="position:absolute;margin-left:415pt;margin-top:2.5pt;width:135.85pt;height:84.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" filled="f" stroked="f">
                <v:textbox>
                  <w:txbxContent>
                    <w:p w14:paraId="35638B60" w14:textId="23A68D6E" w:rsidR="00C456E2" w:rsidRPr="006D7DF7" w:rsidRDefault="00C456E2" w:rsidP="00A12BE9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04ABF" w:rsidRPr="005C00F7">
        <w:rPr>
          <w:lang w:val="en-US"/>
        </w:rPr>
        <w:t xml:space="preserve"> </w:t>
      </w:r>
    </w:p>
    <w:p w14:paraId="52C4026B" w14:textId="331C1484" w:rsidR="005C00F7" w:rsidRPr="00115E2E" w:rsidRDefault="005C00F7" w:rsidP="005C00F7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r w:rsidRPr="00145E1F">
        <w:rPr>
          <w:spacing w:val="-7"/>
          <w:lang w:val="en-GB"/>
        </w:rPr>
        <w:t xml:space="preserve">Total revenues of examined cultural institutions in </w:t>
      </w:r>
      <w:r w:rsidRPr="0020304D">
        <w:rPr>
          <w:spacing w:val="-7"/>
          <w:lang w:val="en-GB"/>
        </w:rPr>
        <w:t>1st</w:t>
      </w:r>
      <w:r w:rsidRPr="00145E1F">
        <w:rPr>
          <w:spacing w:val="-7"/>
          <w:lang w:val="en-GB"/>
        </w:rPr>
        <w:t xml:space="preserve"> </w:t>
      </w:r>
      <w:r>
        <w:rPr>
          <w:spacing w:val="-7"/>
          <w:lang w:val="en-GB"/>
        </w:rPr>
        <w:t>half</w:t>
      </w:r>
      <w:r w:rsidRPr="00145E1F">
        <w:rPr>
          <w:spacing w:val="-7"/>
          <w:lang w:val="en-GB"/>
        </w:rPr>
        <w:t xml:space="preserve"> </w:t>
      </w:r>
      <w:r w:rsidR="00325D6A">
        <w:rPr>
          <w:spacing w:val="-7"/>
          <w:lang w:val="en-GB"/>
        </w:rPr>
        <w:t xml:space="preserve">of </w:t>
      </w:r>
      <w:r w:rsidRPr="00145E1F">
        <w:rPr>
          <w:spacing w:val="-7"/>
          <w:lang w:val="en-GB"/>
        </w:rPr>
        <w:t xml:space="preserve">2020 </w:t>
      </w:r>
      <w:r>
        <w:rPr>
          <w:spacing w:val="-7"/>
          <w:lang w:val="en-GB"/>
        </w:rPr>
        <w:t>were lower by 7.0</w:t>
      </w:r>
      <w:r w:rsidRPr="00145E1F">
        <w:rPr>
          <w:spacing w:val="-1"/>
          <w:lang w:val="en-GB"/>
        </w:rPr>
        <w:t>%</w:t>
      </w:r>
      <w:r w:rsidRPr="00145E1F">
        <w:rPr>
          <w:spacing w:val="-6"/>
          <w:lang w:val="en-GB"/>
        </w:rPr>
        <w:t xml:space="preserve"> </w:t>
      </w:r>
      <w:r>
        <w:rPr>
          <w:lang w:val="en-GB"/>
        </w:rPr>
        <w:t>than those achieved in 1</w:t>
      </w:r>
      <w:r w:rsidRPr="0020304D">
        <w:rPr>
          <w:lang w:val="en-GB"/>
        </w:rPr>
        <w:t>st</w:t>
      </w:r>
      <w:r>
        <w:rPr>
          <w:lang w:val="en-GB"/>
        </w:rPr>
        <w:t xml:space="preserve"> half of </w:t>
      </w:r>
      <w:r w:rsidRPr="00145E1F">
        <w:rPr>
          <w:spacing w:val="-1"/>
          <w:lang w:val="en-GB"/>
        </w:rPr>
        <w:t xml:space="preserve">2019 </w:t>
      </w:r>
      <w:r>
        <w:rPr>
          <w:lang w:val="en-GB"/>
        </w:rPr>
        <w:t xml:space="preserve">and amounted to PLN </w:t>
      </w:r>
      <w:r w:rsidRPr="005C00F7">
        <w:rPr>
          <w:spacing w:val="-4"/>
          <w:lang w:val="en-US"/>
        </w:rPr>
        <w:t>4,</w:t>
      </w:r>
      <w:r>
        <w:rPr>
          <w:spacing w:val="-4"/>
          <w:lang w:val="en-US"/>
        </w:rPr>
        <w:t>658.</w:t>
      </w:r>
      <w:r w:rsidRPr="005C00F7">
        <w:rPr>
          <w:spacing w:val="-4"/>
          <w:lang w:val="en-US"/>
        </w:rPr>
        <w:t>1</w:t>
      </w:r>
      <w:r w:rsidRPr="005C00F7">
        <w:rPr>
          <w:spacing w:val="-3"/>
          <w:lang w:val="en-US"/>
        </w:rPr>
        <w:t> </w:t>
      </w:r>
      <w:r>
        <w:rPr>
          <w:lang w:val="en-GB"/>
        </w:rPr>
        <w:t>million</w:t>
      </w:r>
      <w:r w:rsidRPr="00145E1F">
        <w:rPr>
          <w:lang w:val="en-GB"/>
        </w:rPr>
        <w:t xml:space="preserve">. </w:t>
      </w:r>
      <w:r w:rsidRPr="00115E2E">
        <w:rPr>
          <w:lang w:val="en-GB"/>
        </w:rPr>
        <w:t>In the structure of th</w:t>
      </w:r>
      <w:r>
        <w:rPr>
          <w:lang w:val="en-GB"/>
        </w:rPr>
        <w:t>ese</w:t>
      </w:r>
      <w:r w:rsidRPr="00115E2E">
        <w:rPr>
          <w:lang w:val="en-GB"/>
        </w:rPr>
        <w:t xml:space="preserve"> revenues </w:t>
      </w:r>
      <w:r w:rsidR="00BC021E">
        <w:rPr>
          <w:spacing w:val="-1"/>
          <w:lang w:val="en-US"/>
        </w:rPr>
        <w:t>92.</w:t>
      </w:r>
      <w:r w:rsidRPr="005C00F7">
        <w:rPr>
          <w:spacing w:val="-1"/>
          <w:lang w:val="en-US"/>
        </w:rPr>
        <w:t>2</w:t>
      </w:r>
      <w:r w:rsidRPr="00115E2E">
        <w:rPr>
          <w:spacing w:val="-1"/>
          <w:lang w:val="en-GB"/>
        </w:rPr>
        <w:t>%</w:t>
      </w:r>
      <w:r w:rsidRPr="00115E2E">
        <w:rPr>
          <w:spacing w:val="-8"/>
          <w:lang w:val="en-GB"/>
        </w:rPr>
        <w:t xml:space="preserve"> </w:t>
      </w:r>
      <w:r w:rsidRPr="00115E2E">
        <w:rPr>
          <w:lang w:val="en-GB"/>
        </w:rPr>
        <w:t xml:space="preserve">constituted net revenues from sales of </w:t>
      </w:r>
      <w:r>
        <w:rPr>
          <w:lang w:val="en-GB"/>
        </w:rPr>
        <w:t>products, goods and materials</w:t>
      </w:r>
      <w:r w:rsidRPr="00115E2E">
        <w:rPr>
          <w:lang w:val="en-GB"/>
        </w:rPr>
        <w:t>,</w:t>
      </w:r>
      <w:r w:rsidRPr="00115E2E">
        <w:rPr>
          <w:spacing w:val="-7"/>
          <w:lang w:val="en-GB"/>
        </w:rPr>
        <w:t xml:space="preserve"> </w:t>
      </w:r>
      <w:r w:rsidR="00BC021E">
        <w:rPr>
          <w:spacing w:val="-7"/>
          <w:lang w:val="en-US"/>
        </w:rPr>
        <w:t>7.</w:t>
      </w:r>
      <w:r w:rsidRPr="005C00F7">
        <w:rPr>
          <w:spacing w:val="-7"/>
          <w:lang w:val="en-US"/>
        </w:rPr>
        <w:t>7</w:t>
      </w:r>
      <w:r w:rsidRPr="00115E2E">
        <w:rPr>
          <w:lang w:val="en-GB"/>
        </w:rPr>
        <w:t xml:space="preserve">% </w:t>
      </w:r>
      <w:r w:rsidRPr="00115E2E">
        <w:rPr>
          <w:spacing w:val="-1"/>
          <w:lang w:val="en-GB"/>
        </w:rPr>
        <w:t>–</w:t>
      </w:r>
      <w:r w:rsidRPr="00115E2E">
        <w:rPr>
          <w:lang w:val="en-GB"/>
        </w:rPr>
        <w:t xml:space="preserve"> </w:t>
      </w:r>
      <w:r>
        <w:rPr>
          <w:lang w:val="en-GB"/>
        </w:rPr>
        <w:t>other operating revenues</w:t>
      </w:r>
      <w:r w:rsidRPr="00115E2E">
        <w:rPr>
          <w:spacing w:val="-10"/>
          <w:lang w:val="en-GB"/>
        </w:rPr>
        <w:t xml:space="preserve"> </w:t>
      </w:r>
      <w:r>
        <w:rPr>
          <w:lang w:val="en-GB"/>
        </w:rPr>
        <w:t>and</w:t>
      </w:r>
      <w:r w:rsidRPr="00115E2E">
        <w:rPr>
          <w:spacing w:val="-9"/>
          <w:lang w:val="en-GB"/>
        </w:rPr>
        <w:t xml:space="preserve"> </w:t>
      </w:r>
      <w:r>
        <w:rPr>
          <w:lang w:val="en-GB"/>
        </w:rPr>
        <w:t>0.</w:t>
      </w:r>
      <w:r w:rsidRPr="00115E2E">
        <w:rPr>
          <w:lang w:val="en-GB"/>
        </w:rPr>
        <w:t xml:space="preserve">1% </w:t>
      </w:r>
      <w:r w:rsidRPr="00115E2E">
        <w:rPr>
          <w:spacing w:val="-1"/>
          <w:lang w:val="en-GB"/>
        </w:rPr>
        <w:t>–</w:t>
      </w:r>
      <w:r w:rsidRPr="00115E2E">
        <w:rPr>
          <w:spacing w:val="-11"/>
          <w:lang w:val="en-GB"/>
        </w:rPr>
        <w:t xml:space="preserve"> </w:t>
      </w:r>
      <w:r>
        <w:rPr>
          <w:spacing w:val="-1"/>
          <w:lang w:val="en-GB"/>
        </w:rPr>
        <w:t>financial revenues</w:t>
      </w:r>
      <w:r w:rsidRPr="00115E2E">
        <w:rPr>
          <w:spacing w:val="-1"/>
          <w:lang w:val="en-GB"/>
        </w:rPr>
        <w:t xml:space="preserve">. The highest total revenues </w:t>
      </w:r>
      <w:r>
        <w:rPr>
          <w:spacing w:val="-1"/>
          <w:lang w:val="en-GB"/>
        </w:rPr>
        <w:t xml:space="preserve">were </w:t>
      </w:r>
      <w:r w:rsidRPr="00115E2E">
        <w:rPr>
          <w:spacing w:val="-1"/>
          <w:lang w:val="en-GB"/>
        </w:rPr>
        <w:t xml:space="preserve">achieved </w:t>
      </w:r>
      <w:r>
        <w:rPr>
          <w:spacing w:val="-1"/>
          <w:lang w:val="en-GB"/>
        </w:rPr>
        <w:t xml:space="preserve">by </w:t>
      </w:r>
      <w:r w:rsidRPr="00115E2E">
        <w:rPr>
          <w:spacing w:val="-1"/>
          <w:lang w:val="en-GB"/>
        </w:rPr>
        <w:t xml:space="preserve">cultural institutions in </w:t>
      </w:r>
      <w:proofErr w:type="spellStart"/>
      <w:r w:rsidRPr="00115E2E">
        <w:rPr>
          <w:spacing w:val="-1"/>
          <w:lang w:val="en-GB"/>
        </w:rPr>
        <w:t>Mazowieckie</w:t>
      </w:r>
      <w:proofErr w:type="spellEnd"/>
      <w:r w:rsidRPr="00115E2E">
        <w:rPr>
          <w:spacing w:val="-1"/>
          <w:lang w:val="en-GB"/>
        </w:rPr>
        <w:t xml:space="preserve"> Voivodship (share amounted</w:t>
      </w:r>
      <w:r>
        <w:rPr>
          <w:spacing w:val="-1"/>
          <w:lang w:val="en-GB"/>
        </w:rPr>
        <w:t xml:space="preserve"> to 26.5</w:t>
      </w:r>
      <w:r w:rsidRPr="00115E2E">
        <w:rPr>
          <w:spacing w:val="-1"/>
          <w:lang w:val="en-GB"/>
        </w:rPr>
        <w:t>%), a</w:t>
      </w:r>
      <w:r>
        <w:rPr>
          <w:spacing w:val="-1"/>
          <w:lang w:val="en-GB"/>
        </w:rPr>
        <w:t xml:space="preserve">nd followed by </w:t>
      </w:r>
      <w:proofErr w:type="spellStart"/>
      <w:r>
        <w:rPr>
          <w:spacing w:val="-1"/>
          <w:lang w:val="en-GB"/>
        </w:rPr>
        <w:t>Małopolskie</w:t>
      </w:r>
      <w:proofErr w:type="spellEnd"/>
      <w:r>
        <w:rPr>
          <w:spacing w:val="-1"/>
          <w:lang w:val="en-GB"/>
        </w:rPr>
        <w:t xml:space="preserve"> (11.1</w:t>
      </w:r>
      <w:r w:rsidRPr="00115E2E">
        <w:rPr>
          <w:spacing w:val="-1"/>
          <w:lang w:val="en-GB"/>
        </w:rPr>
        <w:t xml:space="preserve">%) </w:t>
      </w:r>
      <w:r>
        <w:rPr>
          <w:spacing w:val="-1"/>
          <w:lang w:val="en-GB"/>
        </w:rPr>
        <w:t>and</w:t>
      </w:r>
      <w:r w:rsidRPr="00115E2E">
        <w:rPr>
          <w:spacing w:val="-1"/>
          <w:lang w:val="en-GB"/>
        </w:rPr>
        <w:t xml:space="preserve"> </w:t>
      </w:r>
      <w:proofErr w:type="spellStart"/>
      <w:r>
        <w:rPr>
          <w:spacing w:val="-1"/>
          <w:lang w:val="en-GB"/>
        </w:rPr>
        <w:t>Śląskie</w:t>
      </w:r>
      <w:proofErr w:type="spellEnd"/>
      <w:r>
        <w:rPr>
          <w:spacing w:val="-1"/>
          <w:lang w:val="en-GB"/>
        </w:rPr>
        <w:t xml:space="preserve"> Voivodship (10.1</w:t>
      </w:r>
      <w:r w:rsidRPr="00115E2E">
        <w:rPr>
          <w:spacing w:val="-1"/>
          <w:lang w:val="en-GB"/>
        </w:rPr>
        <w:t xml:space="preserve">%). </w:t>
      </w:r>
    </w:p>
    <w:p w14:paraId="30E1ADA7" w14:textId="7BCB6A5B" w:rsidR="005C00F7" w:rsidRPr="005C00F7" w:rsidRDefault="005C00F7" w:rsidP="00633014">
      <w:pPr>
        <w:pStyle w:val="LID"/>
        <w:rPr>
          <w:b w:val="0"/>
          <w:lang w:val="en-US"/>
        </w:rPr>
      </w:pPr>
      <w:r w:rsidRPr="00C74FC0">
        <w:rPr>
          <w:b w:val="0"/>
          <w:lang w:val="en-GB"/>
        </w:rPr>
        <w:t xml:space="preserve">Total costs in </w:t>
      </w:r>
      <w:r>
        <w:rPr>
          <w:b w:val="0"/>
          <w:lang w:val="en-GB"/>
        </w:rPr>
        <w:t xml:space="preserve">the analysed </w:t>
      </w:r>
      <w:r w:rsidRPr="00C74FC0">
        <w:rPr>
          <w:b w:val="0"/>
          <w:lang w:val="en-GB"/>
        </w:rPr>
        <w:t xml:space="preserve">period </w:t>
      </w:r>
      <w:r>
        <w:rPr>
          <w:b w:val="0"/>
          <w:lang w:val="en-GB"/>
        </w:rPr>
        <w:t xml:space="preserve">of </w:t>
      </w:r>
      <w:r w:rsidRPr="00C74FC0">
        <w:rPr>
          <w:b w:val="0"/>
          <w:lang w:val="en-GB"/>
        </w:rPr>
        <w:t xml:space="preserve">2020 were </w:t>
      </w:r>
      <w:r>
        <w:rPr>
          <w:b w:val="0"/>
          <w:lang w:val="en-GB"/>
        </w:rPr>
        <w:t>lower</w:t>
      </w:r>
      <w:r w:rsidRPr="00C74FC0">
        <w:rPr>
          <w:b w:val="0"/>
          <w:lang w:val="en-GB"/>
        </w:rPr>
        <w:t xml:space="preserve"> by </w:t>
      </w:r>
      <w:r>
        <w:rPr>
          <w:b w:val="0"/>
          <w:lang w:val="en-GB"/>
        </w:rPr>
        <w:t>10.2</w:t>
      </w:r>
      <w:r w:rsidRPr="00C74FC0">
        <w:rPr>
          <w:b w:val="0"/>
          <w:spacing w:val="-1"/>
          <w:lang w:val="en-GB"/>
        </w:rPr>
        <w:t>%</w:t>
      </w:r>
      <w:r w:rsidRPr="00C74FC0">
        <w:rPr>
          <w:b w:val="0"/>
          <w:spacing w:val="-6"/>
          <w:lang w:val="en-GB"/>
        </w:rPr>
        <w:t xml:space="preserve"> </w:t>
      </w:r>
      <w:r w:rsidRPr="00C74FC0">
        <w:rPr>
          <w:b w:val="0"/>
          <w:spacing w:val="-1"/>
          <w:lang w:val="en-GB"/>
        </w:rPr>
        <w:t xml:space="preserve">than </w:t>
      </w:r>
      <w:r>
        <w:rPr>
          <w:b w:val="0"/>
          <w:spacing w:val="-1"/>
          <w:lang w:val="en-GB"/>
        </w:rPr>
        <w:t>incurred in 1</w:t>
      </w:r>
      <w:r w:rsidRPr="0020304D">
        <w:rPr>
          <w:b w:val="0"/>
          <w:spacing w:val="-1"/>
          <w:lang w:val="en-GB"/>
        </w:rPr>
        <w:t xml:space="preserve">st </w:t>
      </w:r>
      <w:r>
        <w:rPr>
          <w:b w:val="0"/>
          <w:spacing w:val="-1"/>
          <w:lang w:val="en-GB"/>
        </w:rPr>
        <w:t xml:space="preserve">half of </w:t>
      </w:r>
      <w:r w:rsidRPr="00C74FC0">
        <w:rPr>
          <w:b w:val="0"/>
          <w:lang w:val="en-GB"/>
        </w:rPr>
        <w:t xml:space="preserve">2019 </w:t>
      </w:r>
      <w:r>
        <w:rPr>
          <w:b w:val="0"/>
          <w:lang w:val="en-GB"/>
        </w:rPr>
        <w:t xml:space="preserve">and amounted to PLN </w:t>
      </w:r>
      <w:r w:rsidRPr="005C00F7">
        <w:rPr>
          <w:b w:val="0"/>
          <w:spacing w:val="-5"/>
          <w:lang w:val="en-US"/>
        </w:rPr>
        <w:t>4</w:t>
      </w:r>
      <w:r>
        <w:rPr>
          <w:b w:val="0"/>
          <w:spacing w:val="-5"/>
          <w:lang w:val="en-US"/>
        </w:rPr>
        <w:t>,</w:t>
      </w:r>
      <w:r w:rsidRPr="005C00F7">
        <w:rPr>
          <w:b w:val="0"/>
          <w:spacing w:val="-5"/>
          <w:lang w:val="en-US"/>
        </w:rPr>
        <w:t>179</w:t>
      </w:r>
      <w:r>
        <w:rPr>
          <w:b w:val="0"/>
          <w:spacing w:val="-5"/>
          <w:lang w:val="en-US"/>
        </w:rPr>
        <w:t>.</w:t>
      </w:r>
      <w:r w:rsidRPr="005C00F7">
        <w:rPr>
          <w:b w:val="0"/>
          <w:spacing w:val="-5"/>
          <w:lang w:val="en-US"/>
        </w:rPr>
        <w:t xml:space="preserve">7 </w:t>
      </w:r>
      <w:r w:rsidRPr="00C74FC0">
        <w:rPr>
          <w:b w:val="0"/>
          <w:lang w:val="en-GB"/>
        </w:rPr>
        <w:t>m</w:t>
      </w:r>
      <w:r>
        <w:rPr>
          <w:b w:val="0"/>
          <w:lang w:val="en-GB"/>
        </w:rPr>
        <w:t>il</w:t>
      </w:r>
      <w:r w:rsidRPr="00C74FC0">
        <w:rPr>
          <w:b w:val="0"/>
          <w:lang w:val="en-GB"/>
        </w:rPr>
        <w:t>l</w:t>
      </w:r>
      <w:r>
        <w:rPr>
          <w:b w:val="0"/>
          <w:lang w:val="en-GB"/>
        </w:rPr>
        <w:t>io</w:t>
      </w:r>
      <w:r w:rsidRPr="00C74FC0">
        <w:rPr>
          <w:b w:val="0"/>
          <w:lang w:val="en-GB"/>
        </w:rPr>
        <w:t>n.</w:t>
      </w:r>
      <w:r w:rsidRPr="00C74FC0">
        <w:rPr>
          <w:b w:val="0"/>
          <w:spacing w:val="-6"/>
          <w:lang w:val="en-GB"/>
        </w:rPr>
        <w:t xml:space="preserve"> In the structure of th</w:t>
      </w:r>
      <w:r>
        <w:rPr>
          <w:b w:val="0"/>
          <w:spacing w:val="-6"/>
          <w:lang w:val="en-GB"/>
        </w:rPr>
        <w:t>ese</w:t>
      </w:r>
      <w:r w:rsidRPr="00C74FC0">
        <w:rPr>
          <w:b w:val="0"/>
          <w:spacing w:val="-6"/>
          <w:lang w:val="en-GB"/>
        </w:rPr>
        <w:t xml:space="preserve"> costs </w:t>
      </w:r>
      <w:r w:rsidRPr="00C74FC0">
        <w:rPr>
          <w:b w:val="0"/>
          <w:spacing w:val="-1"/>
          <w:lang w:val="en-GB"/>
        </w:rPr>
        <w:t>99.</w:t>
      </w:r>
      <w:r>
        <w:rPr>
          <w:b w:val="0"/>
          <w:spacing w:val="-1"/>
          <w:lang w:val="en-GB"/>
        </w:rPr>
        <w:t>3</w:t>
      </w:r>
      <w:r w:rsidRPr="00C74FC0">
        <w:rPr>
          <w:b w:val="0"/>
          <w:spacing w:val="-1"/>
          <w:lang w:val="en-GB"/>
        </w:rPr>
        <w:t>%</w:t>
      </w:r>
      <w:r w:rsidRPr="00C74FC0">
        <w:rPr>
          <w:b w:val="0"/>
          <w:spacing w:val="-4"/>
          <w:lang w:val="en-GB"/>
        </w:rPr>
        <w:t xml:space="preserve"> </w:t>
      </w:r>
      <w:r w:rsidRPr="00C74FC0">
        <w:rPr>
          <w:b w:val="0"/>
          <w:lang w:val="en-GB"/>
        </w:rPr>
        <w:t>constituted operating costs</w:t>
      </w:r>
      <w:r w:rsidRPr="00C74FC0">
        <w:rPr>
          <w:b w:val="0"/>
          <w:spacing w:val="-1"/>
          <w:lang w:val="en-GB"/>
        </w:rPr>
        <w:t>,</w:t>
      </w:r>
      <w:r w:rsidRPr="00C74FC0">
        <w:rPr>
          <w:b w:val="0"/>
          <w:spacing w:val="-7"/>
          <w:lang w:val="en-GB"/>
        </w:rPr>
        <w:t xml:space="preserve"> 0</w:t>
      </w:r>
      <w:r w:rsidRPr="00C74FC0">
        <w:rPr>
          <w:b w:val="0"/>
          <w:lang w:val="en-GB"/>
        </w:rPr>
        <w:t>.</w:t>
      </w:r>
      <w:r>
        <w:rPr>
          <w:b w:val="0"/>
          <w:lang w:val="en-GB"/>
        </w:rPr>
        <w:t>6</w:t>
      </w:r>
      <w:r w:rsidRPr="00C74FC0">
        <w:rPr>
          <w:b w:val="0"/>
          <w:lang w:val="en-GB"/>
        </w:rPr>
        <w:t>%</w:t>
      </w:r>
      <w:r w:rsidRPr="00C74FC0">
        <w:rPr>
          <w:b w:val="0"/>
          <w:spacing w:val="-7"/>
          <w:lang w:val="en-GB"/>
        </w:rPr>
        <w:t xml:space="preserve"> </w:t>
      </w:r>
      <w:r w:rsidRPr="00C74FC0">
        <w:rPr>
          <w:b w:val="0"/>
          <w:spacing w:val="-1"/>
          <w:lang w:val="en-GB"/>
        </w:rPr>
        <w:t xml:space="preserve">– </w:t>
      </w:r>
      <w:r>
        <w:rPr>
          <w:b w:val="0"/>
          <w:lang w:val="en-GB"/>
        </w:rPr>
        <w:t>other operating costs</w:t>
      </w:r>
      <w:r w:rsidRPr="00C74FC0">
        <w:rPr>
          <w:b w:val="0"/>
          <w:spacing w:val="-8"/>
          <w:lang w:val="en-GB"/>
        </w:rPr>
        <w:t xml:space="preserve"> a</w:t>
      </w:r>
      <w:r>
        <w:rPr>
          <w:b w:val="0"/>
          <w:spacing w:val="-8"/>
          <w:lang w:val="en-GB"/>
        </w:rPr>
        <w:t>nd</w:t>
      </w:r>
      <w:r w:rsidRPr="00C74FC0">
        <w:rPr>
          <w:b w:val="0"/>
          <w:spacing w:val="-8"/>
          <w:lang w:val="en-GB"/>
        </w:rPr>
        <w:t xml:space="preserve"> </w:t>
      </w:r>
      <w:r>
        <w:rPr>
          <w:b w:val="0"/>
          <w:lang w:val="en-GB"/>
        </w:rPr>
        <w:t>0.</w:t>
      </w:r>
      <w:r w:rsidRPr="00C74FC0">
        <w:rPr>
          <w:b w:val="0"/>
          <w:lang w:val="en-GB"/>
        </w:rPr>
        <w:t xml:space="preserve">1% </w:t>
      </w:r>
      <w:r w:rsidRPr="00C74FC0">
        <w:rPr>
          <w:b w:val="0"/>
          <w:spacing w:val="-1"/>
          <w:lang w:val="en-GB"/>
        </w:rPr>
        <w:t xml:space="preserve">– </w:t>
      </w:r>
      <w:r>
        <w:rPr>
          <w:b w:val="0"/>
          <w:spacing w:val="-1"/>
          <w:lang w:val="en-GB"/>
        </w:rPr>
        <w:t>financial costs</w:t>
      </w:r>
      <w:r w:rsidRPr="00C74FC0">
        <w:rPr>
          <w:b w:val="0"/>
          <w:spacing w:val="-1"/>
          <w:lang w:val="en-GB"/>
        </w:rPr>
        <w:t xml:space="preserve">. </w:t>
      </w:r>
      <w:r>
        <w:rPr>
          <w:b w:val="0"/>
          <w:spacing w:val="-1"/>
          <w:lang w:val="en-GB"/>
        </w:rPr>
        <w:t xml:space="preserve">As in the case of </w:t>
      </w:r>
      <w:r w:rsidRPr="00C74FC0">
        <w:rPr>
          <w:b w:val="0"/>
          <w:spacing w:val="-1"/>
          <w:lang w:val="en-GB"/>
        </w:rPr>
        <w:t xml:space="preserve">total revenues, </w:t>
      </w:r>
      <w:r>
        <w:rPr>
          <w:b w:val="0"/>
          <w:spacing w:val="-1"/>
          <w:lang w:val="en-GB"/>
        </w:rPr>
        <w:t>t</w:t>
      </w:r>
      <w:r w:rsidRPr="00C74FC0">
        <w:rPr>
          <w:b w:val="0"/>
          <w:spacing w:val="-1"/>
          <w:lang w:val="en-GB"/>
        </w:rPr>
        <w:t xml:space="preserve">he highest total costs </w:t>
      </w:r>
      <w:r>
        <w:rPr>
          <w:b w:val="0"/>
          <w:spacing w:val="-1"/>
          <w:lang w:val="en-GB"/>
        </w:rPr>
        <w:t xml:space="preserve">were </w:t>
      </w:r>
      <w:r w:rsidRPr="00C74FC0">
        <w:rPr>
          <w:b w:val="0"/>
          <w:spacing w:val="-1"/>
          <w:lang w:val="en-GB"/>
        </w:rPr>
        <w:t xml:space="preserve">generated </w:t>
      </w:r>
      <w:r>
        <w:rPr>
          <w:b w:val="0"/>
          <w:spacing w:val="-1"/>
          <w:lang w:val="en-GB"/>
        </w:rPr>
        <w:t xml:space="preserve">by </w:t>
      </w:r>
      <w:r w:rsidRPr="00C74FC0">
        <w:rPr>
          <w:b w:val="0"/>
          <w:spacing w:val="-1"/>
          <w:lang w:val="en-GB"/>
        </w:rPr>
        <w:t>entit</w:t>
      </w:r>
      <w:r>
        <w:rPr>
          <w:b w:val="0"/>
          <w:spacing w:val="-1"/>
          <w:lang w:val="en-GB"/>
        </w:rPr>
        <w:t>ies from Mazowieckie Voivodship (25.5</w:t>
      </w:r>
      <w:r w:rsidRPr="00C74FC0">
        <w:rPr>
          <w:b w:val="0"/>
          <w:spacing w:val="-1"/>
          <w:lang w:val="en-GB"/>
        </w:rPr>
        <w:t>%</w:t>
      </w:r>
      <w:r>
        <w:rPr>
          <w:b w:val="0"/>
          <w:spacing w:val="-1"/>
          <w:lang w:val="en-GB"/>
        </w:rPr>
        <w:t>).</w:t>
      </w:r>
    </w:p>
    <w:p w14:paraId="3956C4B4" w14:textId="6F7435CC" w:rsidR="005C00F7" w:rsidRPr="00DF7BEF" w:rsidRDefault="00325D6A" w:rsidP="005C00F7">
      <w:pPr>
        <w:rPr>
          <w:b/>
          <w:spacing w:val="-2"/>
          <w:sz w:val="18"/>
          <w:lang w:val="en-GB"/>
        </w:rPr>
      </w:pPr>
      <w:r w:rsidRPr="00633014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38464" behindDoc="1" locked="0" layoutInCell="1" allowOverlap="1" wp14:anchorId="39FE73D0" wp14:editId="57586E34">
                <wp:simplePos x="0" y="0"/>
                <wp:positionH relativeFrom="page">
                  <wp:posOffset>5684769</wp:posOffset>
                </wp:positionH>
                <wp:positionV relativeFrom="paragraph">
                  <wp:posOffset>7730</wp:posOffset>
                </wp:positionV>
                <wp:extent cx="1621790" cy="1080770"/>
                <wp:effectExtent l="0" t="0" r="0" b="5080"/>
                <wp:wrapTight wrapText="bothSides">
                  <wp:wrapPolygon edited="0">
                    <wp:start x="761" y="0"/>
                    <wp:lineTo x="761" y="21321"/>
                    <wp:lineTo x="20805" y="21321"/>
                    <wp:lineTo x="20805" y="0"/>
                    <wp:lineTo x="761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1080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7B100" w14:textId="30F047BB" w:rsidR="00EE2AE3" w:rsidRPr="00F32D06" w:rsidRDefault="00EE2AE3" w:rsidP="00EE2AE3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F32D06">
                              <w:rPr>
                                <w:lang w:val="en-GB"/>
                              </w:rPr>
                              <w:t>In 1</w:t>
                            </w:r>
                            <w:r w:rsidRPr="0020304D">
                              <w:rPr>
                                <w:lang w:val="en-GB"/>
                              </w:rPr>
                              <w:t>st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lang w:val="en-GB"/>
                              </w:rPr>
                              <w:t>half of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 2020 </w:t>
                            </w:r>
                            <w:r>
                              <w:rPr>
                                <w:lang w:val="en-GB"/>
                              </w:rPr>
                              <w:t xml:space="preserve">local 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government cultural institutions achieved total revenues in </w:t>
                            </w:r>
                            <w:r>
                              <w:rPr>
                                <w:lang w:val="en-GB"/>
                              </w:rPr>
                              <w:t>the amount of PLN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EE2AE3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EE2AE3">
                              <w:rPr>
                                <w:lang w:val="en-US"/>
                              </w:rPr>
                              <w:t>808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EE2AE3">
                              <w:rPr>
                                <w:lang w:val="en-US"/>
                              </w:rPr>
                              <w:t xml:space="preserve">5 </w:t>
                            </w:r>
                            <w:r w:rsidRPr="00101046">
                              <w:rPr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lang w:val="en-GB"/>
                              </w:rPr>
                              <w:t>il</w:t>
                            </w:r>
                            <w:r w:rsidRPr="00101046">
                              <w:rPr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lang w:val="en-GB"/>
                              </w:rPr>
                              <w:t>ion</w:t>
                            </w:r>
                            <w:r w:rsidRPr="00F32D06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p w14:paraId="6993DBC5" w14:textId="6287D79E" w:rsidR="00EE2AE3" w:rsidRPr="00EE2AE3" w:rsidRDefault="00EE2AE3" w:rsidP="00EE2AE3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E73D0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8" type="#_x0000_t202" style="position:absolute;margin-left:447.6pt;margin-top:.6pt;width:127.7pt;height:85.1pt;z-index:-2514780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" filled="f" stroked="f">
                <v:textbox>
                  <w:txbxContent>
                    <w:p w14:paraId="1067B100" w14:textId="30F047BB" w:rsidR="00EE2AE3" w:rsidRPr="00F32D06" w:rsidRDefault="00EE2AE3" w:rsidP="00EE2AE3">
                      <w:pPr>
                        <w:pStyle w:val="tekstzboku"/>
                        <w:rPr>
                          <w:lang w:val="en-GB"/>
                        </w:rPr>
                      </w:pPr>
                      <w:r w:rsidRPr="00F32D06">
                        <w:rPr>
                          <w:lang w:val="en-GB"/>
                        </w:rPr>
                        <w:t>In 1</w:t>
                      </w:r>
                      <w:r w:rsidRPr="0020304D">
                        <w:rPr>
                          <w:lang w:val="en-GB"/>
                        </w:rPr>
                        <w:t>st</w:t>
                      </w:r>
                      <w:r w:rsidRPr="00F32D06">
                        <w:rPr>
                          <w:lang w:val="en-GB"/>
                        </w:rPr>
                        <w:t xml:space="preserve"> </w:t>
                      </w:r>
                      <w:r>
                        <w:rPr>
                          <w:lang w:val="en-GB"/>
                        </w:rPr>
                        <w:t>half of</w:t>
                      </w:r>
                      <w:r w:rsidRPr="00F32D06">
                        <w:rPr>
                          <w:lang w:val="en-GB"/>
                        </w:rPr>
                        <w:t xml:space="preserve"> 2020 </w:t>
                      </w:r>
                      <w:r>
                        <w:rPr>
                          <w:lang w:val="en-GB"/>
                        </w:rPr>
                        <w:t xml:space="preserve">local </w:t>
                      </w:r>
                      <w:r w:rsidRPr="00F32D06">
                        <w:rPr>
                          <w:lang w:val="en-GB"/>
                        </w:rPr>
                        <w:t xml:space="preserve">government cultural institutions achieved total revenues in </w:t>
                      </w:r>
                      <w:r>
                        <w:rPr>
                          <w:lang w:val="en-GB"/>
                        </w:rPr>
                        <w:t>the amount of PLN</w:t>
                      </w:r>
                      <w:r w:rsidRPr="00F32D06">
                        <w:rPr>
                          <w:lang w:val="en-GB"/>
                        </w:rPr>
                        <w:t xml:space="preserve"> </w:t>
                      </w:r>
                      <w:r w:rsidRPr="00EE2AE3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EE2AE3">
                        <w:rPr>
                          <w:lang w:val="en-US"/>
                        </w:rPr>
                        <w:t>808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EE2AE3">
                        <w:rPr>
                          <w:lang w:val="en-US"/>
                        </w:rPr>
                        <w:t xml:space="preserve">5 </w:t>
                      </w:r>
                      <w:r w:rsidRPr="00101046">
                        <w:rPr>
                          <w:lang w:val="en-GB"/>
                        </w:rPr>
                        <w:t>m</w:t>
                      </w:r>
                      <w:r>
                        <w:rPr>
                          <w:lang w:val="en-GB"/>
                        </w:rPr>
                        <w:t>il</w:t>
                      </w:r>
                      <w:r w:rsidRPr="00101046">
                        <w:rPr>
                          <w:lang w:val="en-GB"/>
                        </w:rPr>
                        <w:t>l</w:t>
                      </w:r>
                      <w:r>
                        <w:rPr>
                          <w:lang w:val="en-GB"/>
                        </w:rPr>
                        <w:t>ion</w:t>
                      </w:r>
                      <w:r w:rsidRPr="00F32D06">
                        <w:rPr>
                          <w:lang w:val="en-GB"/>
                        </w:rPr>
                        <w:t xml:space="preserve"> </w:t>
                      </w:r>
                    </w:p>
                    <w:p w14:paraId="6993DBC5" w14:textId="6287D79E" w:rsidR="00EE2AE3" w:rsidRPr="00EE2AE3" w:rsidRDefault="00EE2AE3" w:rsidP="00EE2AE3">
                      <w:pPr>
                        <w:pStyle w:val="tekstzboku"/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0F7" w:rsidRPr="00DF7BEF">
        <w:rPr>
          <w:bCs/>
          <w:spacing w:val="-1"/>
          <w:lang w:val="en-GB"/>
        </w:rPr>
        <w:t xml:space="preserve">Among cultural institutions the highest total revenues and total costs </w:t>
      </w:r>
      <w:r w:rsidR="005C00F7">
        <w:rPr>
          <w:bCs/>
          <w:spacing w:val="-1"/>
          <w:lang w:val="en-GB"/>
        </w:rPr>
        <w:t xml:space="preserve">were </w:t>
      </w:r>
      <w:r w:rsidR="005C00F7" w:rsidRPr="00DF7BEF">
        <w:rPr>
          <w:bCs/>
          <w:spacing w:val="-1"/>
          <w:lang w:val="en-GB"/>
        </w:rPr>
        <w:t xml:space="preserve">achieved </w:t>
      </w:r>
      <w:r w:rsidR="005C00F7">
        <w:rPr>
          <w:bCs/>
          <w:spacing w:val="-1"/>
          <w:lang w:val="en-GB"/>
        </w:rPr>
        <w:t xml:space="preserve">by </w:t>
      </w:r>
      <w:proofErr w:type="spellStart"/>
      <w:r w:rsidR="005C00F7" w:rsidRPr="00DF7BEF">
        <w:rPr>
          <w:bCs/>
          <w:spacing w:val="-1"/>
          <w:lang w:val="en-GB"/>
        </w:rPr>
        <w:t>gmin</w:t>
      </w:r>
      <w:r w:rsidR="005C00F7">
        <w:rPr>
          <w:bCs/>
          <w:spacing w:val="-1"/>
          <w:lang w:val="en-GB"/>
        </w:rPr>
        <w:t>as</w:t>
      </w:r>
      <w:proofErr w:type="spellEnd"/>
      <w:r w:rsidR="005C00F7">
        <w:rPr>
          <w:bCs/>
          <w:spacing w:val="-1"/>
          <w:lang w:val="en-GB"/>
        </w:rPr>
        <w:t xml:space="preserve"> local government organizational units </w:t>
      </w:r>
      <w:r w:rsidR="005C00F7" w:rsidRPr="00DF7BEF">
        <w:rPr>
          <w:bCs/>
          <w:spacing w:val="-1"/>
          <w:lang w:val="en-GB"/>
        </w:rPr>
        <w:t>(</w:t>
      </w:r>
      <w:r w:rsidR="005C00F7">
        <w:rPr>
          <w:bCs/>
          <w:spacing w:val="-1"/>
          <w:lang w:val="en-GB"/>
        </w:rPr>
        <w:t xml:space="preserve">PLN </w:t>
      </w:r>
      <w:r w:rsidR="005C00F7" w:rsidRPr="005C00F7">
        <w:rPr>
          <w:bCs/>
          <w:spacing w:val="-1"/>
          <w:lang w:val="en-US"/>
        </w:rPr>
        <w:t>2</w:t>
      </w:r>
      <w:r w:rsidR="005C00F7">
        <w:rPr>
          <w:bCs/>
          <w:spacing w:val="-1"/>
          <w:lang w:val="en-US"/>
        </w:rPr>
        <w:t>,</w:t>
      </w:r>
      <w:r w:rsidR="005C00F7" w:rsidRPr="005C00F7">
        <w:rPr>
          <w:bCs/>
          <w:spacing w:val="-1"/>
          <w:lang w:val="en-US"/>
        </w:rPr>
        <w:t>658</w:t>
      </w:r>
      <w:r w:rsidR="005C00F7">
        <w:rPr>
          <w:bCs/>
          <w:spacing w:val="-1"/>
          <w:lang w:val="en-US"/>
        </w:rPr>
        <w:t>.</w:t>
      </w:r>
      <w:r w:rsidR="005C00F7" w:rsidRPr="005C00F7">
        <w:rPr>
          <w:bCs/>
          <w:spacing w:val="-1"/>
          <w:lang w:val="en-US"/>
        </w:rPr>
        <w:t xml:space="preserve">4 </w:t>
      </w:r>
      <w:proofErr w:type="spellStart"/>
      <w:r w:rsidR="005C00F7" w:rsidRPr="005C00F7">
        <w:rPr>
          <w:bCs/>
          <w:spacing w:val="-1"/>
          <w:lang w:val="en-US"/>
        </w:rPr>
        <w:t>mln</w:t>
      </w:r>
      <w:proofErr w:type="spellEnd"/>
      <w:r w:rsidR="005C00F7" w:rsidRPr="005C00F7">
        <w:rPr>
          <w:bCs/>
          <w:spacing w:val="-1"/>
          <w:lang w:val="en-US"/>
        </w:rPr>
        <w:t xml:space="preserve"> </w:t>
      </w:r>
      <w:r w:rsidR="005C00F7">
        <w:rPr>
          <w:bCs/>
          <w:spacing w:val="-1"/>
          <w:lang w:val="en-GB"/>
        </w:rPr>
        <w:t>and</w:t>
      </w:r>
      <w:r w:rsidR="005C00F7" w:rsidRPr="00DF7BEF">
        <w:rPr>
          <w:bCs/>
          <w:spacing w:val="-1"/>
          <w:lang w:val="en-GB"/>
        </w:rPr>
        <w:t xml:space="preserve"> </w:t>
      </w:r>
      <w:r w:rsidR="005C00F7">
        <w:rPr>
          <w:bCs/>
          <w:spacing w:val="-1"/>
          <w:lang w:val="en-GB"/>
        </w:rPr>
        <w:t xml:space="preserve">PLN </w:t>
      </w:r>
      <w:r w:rsidR="005C00F7" w:rsidRPr="005C00F7">
        <w:rPr>
          <w:bCs/>
          <w:spacing w:val="-1"/>
          <w:lang w:val="en-US"/>
        </w:rPr>
        <w:t>2</w:t>
      </w:r>
      <w:r w:rsidR="005C00F7">
        <w:rPr>
          <w:bCs/>
          <w:spacing w:val="-1"/>
          <w:lang w:val="en-US"/>
        </w:rPr>
        <w:t>,</w:t>
      </w:r>
      <w:r w:rsidR="005C00F7" w:rsidRPr="005C00F7">
        <w:rPr>
          <w:bCs/>
          <w:spacing w:val="-1"/>
          <w:lang w:val="en-US"/>
        </w:rPr>
        <w:t>386</w:t>
      </w:r>
      <w:r w:rsidR="005C00F7">
        <w:rPr>
          <w:bCs/>
          <w:spacing w:val="-1"/>
          <w:lang w:val="en-US"/>
        </w:rPr>
        <w:t>.</w:t>
      </w:r>
      <w:r w:rsidR="005C00F7" w:rsidRPr="005C00F7">
        <w:rPr>
          <w:bCs/>
          <w:spacing w:val="-1"/>
          <w:lang w:val="en-US"/>
        </w:rPr>
        <w:t>9</w:t>
      </w:r>
      <w:r w:rsidR="005C00F7" w:rsidRPr="00DF7BEF">
        <w:rPr>
          <w:bCs/>
          <w:spacing w:val="-1"/>
          <w:lang w:val="en-GB"/>
        </w:rPr>
        <w:t xml:space="preserve"> m</w:t>
      </w:r>
      <w:r w:rsidR="005C00F7">
        <w:rPr>
          <w:bCs/>
          <w:spacing w:val="-1"/>
          <w:lang w:val="en-GB"/>
        </w:rPr>
        <w:t>illion,</w:t>
      </w:r>
      <w:r w:rsidR="005C00F7" w:rsidRPr="00F443A6">
        <w:rPr>
          <w:bCs/>
          <w:spacing w:val="-1"/>
          <w:lang w:val="en-GB"/>
        </w:rPr>
        <w:t xml:space="preserve"> </w:t>
      </w:r>
      <w:r w:rsidR="005C00F7">
        <w:rPr>
          <w:bCs/>
          <w:spacing w:val="-1"/>
          <w:lang w:val="en-GB"/>
        </w:rPr>
        <w:t>respectively</w:t>
      </w:r>
      <w:r w:rsidR="005C00F7" w:rsidRPr="00DF7BEF">
        <w:rPr>
          <w:bCs/>
          <w:spacing w:val="-1"/>
          <w:lang w:val="en-GB"/>
        </w:rPr>
        <w:t>).</w:t>
      </w:r>
    </w:p>
    <w:p w14:paraId="59BC13BE" w14:textId="3F8F170D" w:rsidR="00A12BE9" w:rsidRPr="00325D6A" w:rsidRDefault="00A12BE9" w:rsidP="00946F1D">
      <w:pPr>
        <w:spacing w:before="0" w:after="0" w:line="240" w:lineRule="auto"/>
        <w:rPr>
          <w:b/>
          <w:bCs/>
          <w:spacing w:val="-2"/>
          <w:lang w:val="en-US"/>
        </w:rPr>
      </w:pPr>
    </w:p>
    <w:p w14:paraId="67F371B8" w14:textId="31D24B0A" w:rsidR="00F87CA9" w:rsidRPr="001445E0" w:rsidRDefault="00F87CA9" w:rsidP="00F87CA9">
      <w:pPr>
        <w:pStyle w:val="Tekstpodstawowy"/>
        <w:kinsoku w:val="0"/>
        <w:overflowPunct w:val="0"/>
        <w:spacing w:after="120"/>
        <w:ind w:left="0"/>
        <w:rPr>
          <w:b/>
          <w:bCs/>
          <w:spacing w:val="-2"/>
          <w:sz w:val="18"/>
          <w:szCs w:val="18"/>
          <w:lang w:val="en-US"/>
        </w:rPr>
      </w:pPr>
      <w:r w:rsidRPr="001445E0">
        <w:rPr>
          <w:b/>
          <w:bCs/>
          <w:spacing w:val="-2"/>
          <w:sz w:val="18"/>
          <w:szCs w:val="18"/>
          <w:lang w:val="en-US"/>
        </w:rPr>
        <w:t>Table</w:t>
      </w:r>
      <w:r w:rsidRPr="001445E0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1445E0">
        <w:rPr>
          <w:b/>
          <w:bCs/>
          <w:spacing w:val="-1"/>
          <w:sz w:val="18"/>
          <w:szCs w:val="18"/>
          <w:lang w:val="en-US"/>
        </w:rPr>
        <w:t>1.</w:t>
      </w:r>
      <w:r w:rsidRPr="001445E0">
        <w:rPr>
          <w:b/>
          <w:bCs/>
          <w:spacing w:val="-12"/>
          <w:sz w:val="18"/>
          <w:szCs w:val="18"/>
          <w:lang w:val="en-US"/>
        </w:rPr>
        <w:t xml:space="preserve"> </w:t>
      </w:r>
      <w:r w:rsidRPr="001445E0">
        <w:rPr>
          <w:b/>
          <w:bCs/>
          <w:spacing w:val="-2"/>
          <w:sz w:val="18"/>
          <w:szCs w:val="18"/>
          <w:lang w:val="en-US"/>
        </w:rPr>
        <w:t>Financial results of cultural institutions</w:t>
      </w:r>
    </w:p>
    <w:tbl>
      <w:tblPr>
        <w:tblW w:w="7924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1871"/>
        <w:gridCol w:w="1871"/>
        <w:gridCol w:w="1872"/>
      </w:tblGrid>
      <w:tr w:rsidR="00F87CA9" w:rsidRPr="00F97099" w14:paraId="46B46C68" w14:textId="77777777" w:rsidTr="0096402B">
        <w:trPr>
          <w:trHeight w:hRule="exact" w:val="362"/>
        </w:trPr>
        <w:tc>
          <w:tcPr>
            <w:tcW w:w="2310" w:type="dxa"/>
            <w:vMerge w:val="restart"/>
            <w:tcBorders>
              <w:top w:val="nil"/>
              <w:left w:val="nil"/>
              <w:right w:val="single" w:sz="4" w:space="0" w:color="202392"/>
            </w:tcBorders>
          </w:tcPr>
          <w:p w14:paraId="609B4BF5" w14:textId="77777777" w:rsidR="00F87CA9" w:rsidRPr="001445E0" w:rsidRDefault="00F87CA9" w:rsidP="00F87CA9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US"/>
              </w:rPr>
            </w:pPr>
          </w:p>
          <w:p w14:paraId="250DFE83" w14:textId="40BDF29C" w:rsidR="00F87CA9" w:rsidRPr="00F87CA9" w:rsidRDefault="00F87CA9" w:rsidP="00F87CA9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1A5FDB9" w14:textId="69FF0938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proofErr w:type="spellStart"/>
            <w:r>
              <w:rPr>
                <w:rFonts w:ascii="Fira Sans" w:hAnsi="Fira Sans"/>
                <w:spacing w:val="-1"/>
                <w:sz w:val="16"/>
                <w:szCs w:val="16"/>
              </w:rPr>
              <w:t>Jun</w:t>
            </w:r>
            <w:proofErr w:type="spellEnd"/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</w:p>
        </w:tc>
        <w:tc>
          <w:tcPr>
            <w:tcW w:w="1871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8038989" w14:textId="6B64B484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proofErr w:type="spellStart"/>
            <w:r>
              <w:rPr>
                <w:rFonts w:ascii="Fira Sans" w:hAnsi="Fira Sans"/>
                <w:spacing w:val="-1"/>
                <w:sz w:val="16"/>
                <w:szCs w:val="16"/>
              </w:rPr>
              <w:t>Jun</w:t>
            </w:r>
            <w:proofErr w:type="spellEnd"/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20</w:t>
            </w:r>
          </w:p>
        </w:tc>
        <w:tc>
          <w:tcPr>
            <w:tcW w:w="1872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  <w:vAlign w:val="center"/>
          </w:tcPr>
          <w:p w14:paraId="359C429E" w14:textId="0485FC86" w:rsidR="00F87CA9" w:rsidRPr="00F97099" w:rsidRDefault="00F87CA9" w:rsidP="00F87CA9">
            <w:pPr>
              <w:pStyle w:val="TableParagraph"/>
              <w:kinsoku w:val="0"/>
              <w:overflowPunct w:val="0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Jan</w:t>
            </w:r>
            <w:r w:rsidRPr="001268E9">
              <w:rPr>
                <w:rFonts w:ascii="Fira Sans" w:hAnsi="Fira Sans"/>
                <w:spacing w:val="-1"/>
                <w:sz w:val="16"/>
                <w:szCs w:val="16"/>
              </w:rPr>
              <w:t>–</w:t>
            </w:r>
            <w:proofErr w:type="spellStart"/>
            <w:r>
              <w:rPr>
                <w:rFonts w:ascii="Fira Sans" w:hAnsi="Fira Sans"/>
                <w:spacing w:val="-1"/>
                <w:sz w:val="16"/>
                <w:szCs w:val="16"/>
              </w:rPr>
              <w:t>Jun</w:t>
            </w:r>
            <w:proofErr w:type="spellEnd"/>
            <w:r>
              <w:rPr>
                <w:rFonts w:ascii="Fira Sans" w:hAnsi="Fira Sans"/>
                <w:spacing w:val="-1"/>
                <w:sz w:val="16"/>
                <w:szCs w:val="16"/>
              </w:rPr>
              <w:t xml:space="preserve"> </w:t>
            </w:r>
            <w:r w:rsidRPr="00F97099">
              <w:rPr>
                <w:rFonts w:ascii="Fira Sans" w:hAnsi="Fira Sans" w:cs="Fira Sans Medium"/>
                <w:spacing w:val="-1"/>
                <w:sz w:val="16"/>
                <w:szCs w:val="16"/>
              </w:rPr>
              <w:t>201</w:t>
            </w:r>
            <w:r>
              <w:rPr>
                <w:rFonts w:ascii="Fira Sans" w:hAnsi="Fira Sans" w:cs="Fira Sans Medium"/>
                <w:spacing w:val="-1"/>
                <w:sz w:val="16"/>
                <w:szCs w:val="16"/>
              </w:rPr>
              <w:t>9</w:t>
            </w:r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=100</w:t>
            </w:r>
          </w:p>
        </w:tc>
      </w:tr>
      <w:tr w:rsidR="00F87CA9" w:rsidRPr="00F97099" w14:paraId="45277C11" w14:textId="77777777" w:rsidTr="0096402B">
        <w:trPr>
          <w:trHeight w:hRule="exact" w:val="345"/>
        </w:trPr>
        <w:tc>
          <w:tcPr>
            <w:tcW w:w="2310" w:type="dxa"/>
            <w:vMerge/>
            <w:tcBorders>
              <w:left w:val="nil"/>
              <w:bottom w:val="single" w:sz="12" w:space="0" w:color="001D77"/>
              <w:right w:val="single" w:sz="4" w:space="0" w:color="202392"/>
            </w:tcBorders>
          </w:tcPr>
          <w:p w14:paraId="3635B011" w14:textId="77777777" w:rsidR="00F87CA9" w:rsidRPr="00F97099" w:rsidRDefault="00F87CA9" w:rsidP="00F87CA9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  <w:vAlign w:val="center"/>
          </w:tcPr>
          <w:p w14:paraId="7A041129" w14:textId="6035A282" w:rsidR="00F87CA9" w:rsidRPr="00F97099" w:rsidRDefault="00F87CA9" w:rsidP="00F87CA9">
            <w:pPr>
              <w:pStyle w:val="TableParagraph"/>
              <w:kinsoku w:val="0"/>
              <w:overflowPunct w:val="0"/>
              <w:spacing w:after="120" w:line="240" w:lineRule="exact"/>
              <w:jc w:val="center"/>
              <w:rPr>
                <w:rFonts w:ascii="Fira Sans" w:hAnsi="Fira Sans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in</w:t>
            </w:r>
            <w:r w:rsidRPr="00F97099">
              <w:rPr>
                <w:rFonts w:ascii="Fira Sans" w:hAnsi="Fira Sans" w:cs="Fira Sans"/>
                <w:sz w:val="16"/>
                <w:szCs w:val="16"/>
              </w:rPr>
              <w:t xml:space="preserve"> </w:t>
            </w:r>
            <w:proofErr w:type="spellStart"/>
            <w:r w:rsidRPr="00F97099"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illion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PLN </w:t>
            </w:r>
          </w:p>
        </w:tc>
        <w:tc>
          <w:tcPr>
            <w:tcW w:w="1872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14:paraId="0913516D" w14:textId="77777777" w:rsidR="00F87CA9" w:rsidRPr="00F97099" w:rsidRDefault="00F87CA9" w:rsidP="00F87CA9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</w:rPr>
            </w:pPr>
          </w:p>
        </w:tc>
      </w:tr>
      <w:tr w:rsidR="00F87CA9" w:rsidRPr="00F97099" w14:paraId="1179211D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900CA3C" w14:textId="52112722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 w:right="134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12A600C" w14:textId="2A504E04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2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5,007.7</w:t>
            </w:r>
          </w:p>
        </w:tc>
        <w:tc>
          <w:tcPr>
            <w:tcW w:w="1871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B37231" w14:textId="204BCF77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4,658.1</w:t>
            </w:r>
          </w:p>
        </w:tc>
        <w:tc>
          <w:tcPr>
            <w:tcW w:w="1872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C30A6BB" w14:textId="7D7E26E2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93.0</w:t>
            </w:r>
          </w:p>
        </w:tc>
      </w:tr>
      <w:tr w:rsidR="00F87CA9" w:rsidRPr="00F97099" w14:paraId="1F3A9220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39CDD5C5" w14:textId="771722BB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 w:right="273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D02C3D0" w14:textId="65CDB955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4,655.8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2E1EDE34" w14:textId="1762DD0D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4,179.7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13F29FC" w14:textId="74AE582F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89.8</w:t>
            </w:r>
          </w:p>
        </w:tc>
      </w:tr>
      <w:tr w:rsidR="00F87CA9" w:rsidRPr="00F97099" w14:paraId="6B151860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83B9EAA" w14:textId="4D9C68E7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Gross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39AAC084" w14:textId="6FDBC676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351.9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6A85401" w14:textId="0EDFF0D3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478.5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62AB9236" w14:textId="67C28231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136.0</w:t>
            </w:r>
          </w:p>
        </w:tc>
      </w:tr>
      <w:tr w:rsidR="00F87CA9" w:rsidRPr="00F97099" w14:paraId="31298E35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D458B6B" w14:textId="04714142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financial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result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6A0689" w14:textId="5033C126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351.2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08897B28" w14:textId="23C7B638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477.9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1D4668A7" w14:textId="03C33E1A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136.1</w:t>
            </w:r>
          </w:p>
        </w:tc>
      </w:tr>
      <w:tr w:rsidR="00F87CA9" w:rsidRPr="00F97099" w14:paraId="3ED2B132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28AA3B00" w14:textId="07E14491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Net profit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164A552" w14:textId="5D6A41B5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400.6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4D271EF8" w14:textId="67B61C16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7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516.9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70DBE44F" w14:textId="4390E19F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5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129.0</w:t>
            </w:r>
          </w:p>
        </w:tc>
      </w:tr>
      <w:tr w:rsidR="00F87CA9" w:rsidRPr="00F97099" w14:paraId="54169C5F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75794677" w14:textId="68101C01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Net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loss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65DFE5EE" w14:textId="350E2898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49.4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984C509" w14:textId="1DD66006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0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39.0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5587C17C" w14:textId="4873051A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6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78.9</w:t>
            </w:r>
          </w:p>
        </w:tc>
      </w:tr>
      <w:tr w:rsidR="00F87CA9" w:rsidRPr="00F97099" w14:paraId="379421DF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14:paraId="08D77F6F" w14:textId="4D0F4E72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Investment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outlays</w:t>
            </w:r>
            <w:proofErr w:type="spellEnd"/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12AEF90E" w14:textId="31DA1529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493.6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14:paraId="5D953BA5" w14:textId="466E0EA9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494.1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14:paraId="411E0434" w14:textId="774A3260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3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100.1</w:t>
            </w:r>
          </w:p>
        </w:tc>
      </w:tr>
      <w:tr w:rsidR="00F87CA9" w:rsidRPr="00F97099" w14:paraId="5E7BD074" w14:textId="77777777" w:rsidTr="00F87CA9">
        <w:trPr>
          <w:cantSplit/>
          <w:trHeight w:val="301"/>
        </w:trPr>
        <w:tc>
          <w:tcPr>
            <w:tcW w:w="2310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14:paraId="1D49E0E9" w14:textId="5F413D75" w:rsidR="00F87CA9" w:rsidRPr="00F87CA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left="107" w:right="184"/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</w:pPr>
            <w:r w:rsidRPr="00700F8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Outlays on intangible fixed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br/>
              <w:t xml:space="preserve">  </w:t>
            </w:r>
            <w:r w:rsidRPr="00700F85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assets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77717D5B" w14:textId="12314FF9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9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10.3</w:t>
            </w:r>
          </w:p>
        </w:tc>
        <w:tc>
          <w:tcPr>
            <w:tcW w:w="1871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14:paraId="57E307FD" w14:textId="203913CB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98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7.8</w:t>
            </w:r>
          </w:p>
        </w:tc>
        <w:tc>
          <w:tcPr>
            <w:tcW w:w="1872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14:paraId="3BB65F89" w14:textId="405C26FB" w:rsidR="00F87CA9" w:rsidRPr="00F97099" w:rsidRDefault="00F87CA9" w:rsidP="00F87CA9">
            <w:pPr>
              <w:pStyle w:val="TableParagraph"/>
              <w:kinsoku w:val="0"/>
              <w:overflowPunct w:val="0"/>
              <w:spacing w:line="240" w:lineRule="exact"/>
              <w:ind w:right="104"/>
              <w:jc w:val="right"/>
              <w:rPr>
                <w:rFonts w:ascii="Fira Sans" w:hAnsi="Fira Sans"/>
                <w:sz w:val="16"/>
                <w:szCs w:val="16"/>
              </w:rPr>
            </w:pPr>
            <w:r>
              <w:rPr>
                <w:rFonts w:ascii="Fira Sans" w:hAnsi="Fira Sans"/>
                <w:sz w:val="16"/>
                <w:szCs w:val="16"/>
              </w:rPr>
              <w:t>75.3</w:t>
            </w:r>
          </w:p>
        </w:tc>
      </w:tr>
    </w:tbl>
    <w:p w14:paraId="311BBCFA" w14:textId="119EFE54" w:rsidR="00F87CA9" w:rsidRPr="00F87CA9" w:rsidRDefault="00B33DE8" w:rsidP="003B0E2D">
      <w:pPr>
        <w:spacing w:before="360"/>
        <w:rPr>
          <w:b/>
          <w:noProof/>
          <w:lang w:val="en-US" w:eastAsia="pl-PL"/>
        </w:rPr>
      </w:pPr>
      <w:r w:rsidRPr="00633014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7F01BB9B" wp14:editId="6E54FAB7">
                <wp:simplePos x="0" y="0"/>
                <wp:positionH relativeFrom="column">
                  <wp:posOffset>5227596</wp:posOffset>
                </wp:positionH>
                <wp:positionV relativeFrom="paragraph">
                  <wp:posOffset>253199</wp:posOffset>
                </wp:positionV>
                <wp:extent cx="1725295" cy="834390"/>
                <wp:effectExtent l="0" t="0" r="0" b="3810"/>
                <wp:wrapTight wrapText="bothSides">
                  <wp:wrapPolygon edited="0">
                    <wp:start x="715" y="0"/>
                    <wp:lineTo x="715" y="21205"/>
                    <wp:lineTo x="20749" y="21205"/>
                    <wp:lineTo x="20749" y="0"/>
                    <wp:lineTo x="715" y="0"/>
                  </wp:wrapPolygon>
                </wp:wrapTight>
                <wp:docPr id="62" name="Pole tekstow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5A055" w14:textId="0CFC92CD" w:rsidR="00130184" w:rsidRPr="00130184" w:rsidRDefault="00130184" w:rsidP="00A12BE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101046">
                              <w:rPr>
                                <w:lang w:val="en-GB"/>
                              </w:rPr>
                              <w:t xml:space="preserve">Net financial result of cultural institutions in 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20304D">
                              <w:rPr>
                                <w:lang w:val="en-GB"/>
                              </w:rPr>
                              <w:t>st</w:t>
                            </w:r>
                            <w:r>
                              <w:rPr>
                                <w:lang w:val="en-GB"/>
                              </w:rPr>
                              <w:t xml:space="preserve"> half</w:t>
                            </w:r>
                            <w:r w:rsidRPr="00101046">
                              <w:rPr>
                                <w:lang w:val="en-GB"/>
                              </w:rPr>
                              <w:t xml:space="preserve"> </w:t>
                            </w:r>
                            <w:r w:rsidR="00EE2AE3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101046">
                              <w:rPr>
                                <w:lang w:val="en-GB"/>
                              </w:rPr>
                              <w:t xml:space="preserve">2020 </w:t>
                            </w:r>
                            <w:r>
                              <w:rPr>
                                <w:lang w:val="en-GB"/>
                              </w:rPr>
                              <w:t>amounted to PLN 477.9</w:t>
                            </w:r>
                            <w:r w:rsidRPr="00101046">
                              <w:rPr>
                                <w:lang w:val="en-GB"/>
                              </w:rPr>
                              <w:t xml:space="preserve"> m</w:t>
                            </w:r>
                            <w:r>
                              <w:rPr>
                                <w:lang w:val="en-GB"/>
                              </w:rPr>
                              <w:t>il</w:t>
                            </w:r>
                            <w:r w:rsidRPr="00101046">
                              <w:rPr>
                                <w:lang w:val="en-GB"/>
                              </w:rPr>
                              <w:t>l</w:t>
                            </w:r>
                            <w:r>
                              <w:rPr>
                                <w:lang w:val="en-GB"/>
                              </w:rPr>
                              <w:t>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1BB9B" id="Pole tekstowe 62" o:spid="_x0000_s1029" type="#_x0000_t202" style="position:absolute;margin-left:411.6pt;margin-top:19.95pt;width:135.85pt;height:65.7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" filled="f" stroked="f">
                <v:textbox>
                  <w:txbxContent>
                    <w:p w14:paraId="7755A055" w14:textId="0CFC92CD" w:rsidR="00130184" w:rsidRPr="00130184" w:rsidRDefault="00130184" w:rsidP="00A12BE9">
                      <w:pPr>
                        <w:pStyle w:val="tekstzboku"/>
                        <w:rPr>
                          <w:lang w:val="en-US"/>
                        </w:rPr>
                      </w:pPr>
                      <w:r w:rsidRPr="00101046">
                        <w:rPr>
                          <w:lang w:val="en-GB"/>
                        </w:rPr>
                        <w:t xml:space="preserve">Net financial result of cultural institutions in 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20304D">
                        <w:rPr>
                          <w:lang w:val="en-GB"/>
                        </w:rPr>
                        <w:t>st</w:t>
                      </w:r>
                      <w:r>
                        <w:rPr>
                          <w:lang w:val="en-GB"/>
                        </w:rPr>
                        <w:t xml:space="preserve"> half</w:t>
                      </w:r>
                      <w:r w:rsidRPr="00101046">
                        <w:rPr>
                          <w:lang w:val="en-GB"/>
                        </w:rPr>
                        <w:t xml:space="preserve"> </w:t>
                      </w:r>
                      <w:r w:rsidR="00EE2AE3">
                        <w:rPr>
                          <w:lang w:val="en-GB"/>
                        </w:rPr>
                        <w:t xml:space="preserve"> of </w:t>
                      </w:r>
                      <w:r w:rsidRPr="00101046">
                        <w:rPr>
                          <w:lang w:val="en-GB"/>
                        </w:rPr>
                        <w:t xml:space="preserve">2020 </w:t>
                      </w:r>
                      <w:r>
                        <w:rPr>
                          <w:lang w:val="en-GB"/>
                        </w:rPr>
                        <w:t>amounted to PLN 477.9</w:t>
                      </w:r>
                      <w:r w:rsidRPr="00101046">
                        <w:rPr>
                          <w:lang w:val="en-GB"/>
                        </w:rPr>
                        <w:t xml:space="preserve"> m</w:t>
                      </w:r>
                      <w:r>
                        <w:rPr>
                          <w:lang w:val="en-GB"/>
                        </w:rPr>
                        <w:t>il</w:t>
                      </w:r>
                      <w:r w:rsidRPr="00101046">
                        <w:rPr>
                          <w:lang w:val="en-GB"/>
                        </w:rPr>
                        <w:t>l</w:t>
                      </w:r>
                      <w:r>
                        <w:rPr>
                          <w:lang w:val="en-GB"/>
                        </w:rPr>
                        <w:t>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7CA9" w:rsidRPr="00F87CA9">
        <w:rPr>
          <w:noProof/>
          <w:lang w:val="en-US" w:eastAsia="pl-PL"/>
        </w:rPr>
        <w:t>The gross financial result amounted to</w:t>
      </w:r>
      <w:r w:rsidR="00F87CA9" w:rsidRPr="00F87CA9">
        <w:rPr>
          <w:spacing w:val="-2"/>
          <w:lang w:val="en-US"/>
        </w:rPr>
        <w:t xml:space="preserve"> PLN 478.5</w:t>
      </w:r>
      <w:r w:rsidR="00F87CA9" w:rsidRPr="00F87CA9">
        <w:rPr>
          <w:spacing w:val="-5"/>
          <w:lang w:val="en-US"/>
        </w:rPr>
        <w:t xml:space="preserve"> </w:t>
      </w:r>
      <w:r w:rsidR="00F87CA9" w:rsidRPr="00F87CA9">
        <w:rPr>
          <w:lang w:val="en-US"/>
        </w:rPr>
        <w:t>million</w:t>
      </w:r>
      <w:r w:rsidR="00F87CA9" w:rsidRPr="00F87CA9">
        <w:rPr>
          <w:spacing w:val="-6"/>
          <w:lang w:val="en-US"/>
        </w:rPr>
        <w:t xml:space="preserve"> </w:t>
      </w:r>
      <w:r w:rsidR="00F87CA9" w:rsidRPr="00F87CA9">
        <w:rPr>
          <w:lang w:val="en-US"/>
        </w:rPr>
        <w:t>(profit</w:t>
      </w:r>
      <w:r w:rsidR="00F87CA9" w:rsidRPr="00F87CA9">
        <w:rPr>
          <w:spacing w:val="-4"/>
          <w:lang w:val="en-US"/>
        </w:rPr>
        <w:t xml:space="preserve"> </w:t>
      </w:r>
      <w:r w:rsidR="00764812">
        <w:rPr>
          <w:spacing w:val="-4"/>
          <w:lang w:val="en-US"/>
        </w:rPr>
        <w:t>PLN 517.</w:t>
      </w:r>
      <w:r w:rsidR="00F87CA9" w:rsidRPr="00764812">
        <w:rPr>
          <w:spacing w:val="-4"/>
          <w:lang w:val="en-US"/>
        </w:rPr>
        <w:t>3</w:t>
      </w:r>
      <w:r w:rsidR="00F87CA9" w:rsidRPr="00F87CA9">
        <w:rPr>
          <w:spacing w:val="-6"/>
          <w:lang w:val="en-US"/>
        </w:rPr>
        <w:t xml:space="preserve"> </w:t>
      </w:r>
      <w:r w:rsidR="00F87CA9" w:rsidRPr="00F87CA9">
        <w:rPr>
          <w:lang w:val="en-US"/>
        </w:rPr>
        <w:t>million,</w:t>
      </w:r>
      <w:r w:rsidR="00F87CA9" w:rsidRPr="00F87CA9">
        <w:rPr>
          <w:spacing w:val="-5"/>
          <w:lang w:val="en-US"/>
        </w:rPr>
        <w:t xml:space="preserve"> </w:t>
      </w:r>
      <w:r w:rsidR="00F87CA9" w:rsidRPr="00F87CA9">
        <w:rPr>
          <w:spacing w:val="-1"/>
          <w:lang w:val="en-US"/>
        </w:rPr>
        <w:t>loss</w:t>
      </w:r>
      <w:r w:rsidR="00F87CA9" w:rsidRPr="00F87CA9">
        <w:rPr>
          <w:spacing w:val="-4"/>
          <w:lang w:val="en-US"/>
        </w:rPr>
        <w:t xml:space="preserve"> </w:t>
      </w:r>
      <w:r w:rsidR="00F87CA9" w:rsidRPr="00F87CA9">
        <w:rPr>
          <w:spacing w:val="-4"/>
          <w:lang w:val="en-US"/>
        </w:rPr>
        <w:br/>
      </w:r>
      <w:r w:rsidR="00F87CA9" w:rsidRPr="00764812">
        <w:rPr>
          <w:spacing w:val="-4"/>
          <w:lang w:val="en-US"/>
        </w:rPr>
        <w:t>PLN 38</w:t>
      </w:r>
      <w:r w:rsidR="00764812">
        <w:rPr>
          <w:spacing w:val="-4"/>
          <w:lang w:val="en-US"/>
        </w:rPr>
        <w:t>.</w:t>
      </w:r>
      <w:r w:rsidR="00F87CA9" w:rsidRPr="00764812">
        <w:rPr>
          <w:spacing w:val="-4"/>
          <w:lang w:val="en-US"/>
        </w:rPr>
        <w:t>9</w:t>
      </w:r>
      <w:r w:rsidR="00F87CA9" w:rsidRPr="00764812">
        <w:rPr>
          <w:spacing w:val="-5"/>
          <w:lang w:val="en-US"/>
        </w:rPr>
        <w:t xml:space="preserve"> </w:t>
      </w:r>
      <w:r w:rsidR="00F87CA9" w:rsidRPr="00764812">
        <w:rPr>
          <w:lang w:val="en-US"/>
        </w:rPr>
        <w:t>million</w:t>
      </w:r>
      <w:r w:rsidR="00F87CA9" w:rsidRPr="00B33DE8">
        <w:rPr>
          <w:noProof/>
          <w:lang w:val="en-US" w:eastAsia="pl-PL"/>
        </w:rPr>
        <w:t>)</w:t>
      </w:r>
      <w:r>
        <w:rPr>
          <w:noProof/>
          <w:lang w:val="en-US" w:eastAsia="pl-PL"/>
        </w:rPr>
        <w:t>.</w:t>
      </w:r>
    </w:p>
    <w:p w14:paraId="3E964C1A" w14:textId="76889F4C" w:rsidR="00A12BE9" w:rsidRPr="00F87CA9" w:rsidRDefault="00F87CA9" w:rsidP="00F87CA9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>
        <w:rPr>
          <w:lang w:val="en-GB"/>
        </w:rPr>
        <w:t>The n</w:t>
      </w:r>
      <w:r w:rsidRPr="00814568">
        <w:rPr>
          <w:lang w:val="en-GB"/>
        </w:rPr>
        <w:t>et financial result</w:t>
      </w:r>
      <w:r w:rsidRPr="00814568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was</w:t>
      </w:r>
      <w:r w:rsidRPr="00814568">
        <w:rPr>
          <w:spacing w:val="-1"/>
          <w:lang w:val="en-GB"/>
        </w:rPr>
        <w:t xml:space="preserve"> at the level of PLN</w:t>
      </w:r>
      <w:r w:rsidRPr="00814568">
        <w:rPr>
          <w:spacing w:val="-6"/>
          <w:lang w:val="en-GB"/>
        </w:rPr>
        <w:t xml:space="preserve"> </w:t>
      </w:r>
      <w:r w:rsidRPr="00F87CA9">
        <w:rPr>
          <w:spacing w:val="-1"/>
          <w:lang w:val="en-US"/>
        </w:rPr>
        <w:t>477.9</w:t>
      </w:r>
      <w:r w:rsidRPr="00814568">
        <w:rPr>
          <w:spacing w:val="-4"/>
          <w:lang w:val="en-GB"/>
        </w:rPr>
        <w:t xml:space="preserve"> </w:t>
      </w:r>
      <w:r w:rsidRPr="00814568">
        <w:rPr>
          <w:lang w:val="en-GB"/>
        </w:rPr>
        <w:t>million</w:t>
      </w:r>
      <w:r w:rsidRPr="00814568">
        <w:rPr>
          <w:spacing w:val="-6"/>
          <w:lang w:val="en-GB"/>
        </w:rPr>
        <w:t xml:space="preserve"> </w:t>
      </w:r>
      <w:r w:rsidRPr="00814568">
        <w:rPr>
          <w:spacing w:val="-1"/>
          <w:lang w:val="en-GB"/>
        </w:rPr>
        <w:t>(</w:t>
      </w:r>
      <w:r>
        <w:rPr>
          <w:spacing w:val="-1"/>
          <w:lang w:val="en-GB"/>
        </w:rPr>
        <w:t xml:space="preserve">against </w:t>
      </w:r>
      <w:r w:rsidRPr="00814568">
        <w:rPr>
          <w:spacing w:val="-4"/>
          <w:lang w:val="en-GB"/>
        </w:rPr>
        <w:t xml:space="preserve">PLN </w:t>
      </w:r>
      <w:r w:rsidRPr="00F87CA9">
        <w:rPr>
          <w:spacing w:val="-4"/>
          <w:lang w:val="en-US"/>
        </w:rPr>
        <w:t>351.2</w:t>
      </w:r>
      <w:r w:rsidR="00325D6A">
        <w:rPr>
          <w:spacing w:val="-4"/>
          <w:lang w:val="en-US"/>
        </w:rPr>
        <w:t xml:space="preserve"> </w:t>
      </w:r>
      <w:r w:rsidRPr="00814568">
        <w:rPr>
          <w:lang w:val="en-GB"/>
        </w:rPr>
        <w:t>m</w:t>
      </w:r>
      <w:r>
        <w:rPr>
          <w:lang w:val="en-GB"/>
        </w:rPr>
        <w:t>il</w:t>
      </w:r>
      <w:r w:rsidRPr="00814568">
        <w:rPr>
          <w:lang w:val="en-GB"/>
        </w:rPr>
        <w:t>l</w:t>
      </w:r>
      <w:r>
        <w:rPr>
          <w:lang w:val="en-GB"/>
        </w:rPr>
        <w:t>io</w:t>
      </w:r>
      <w:r w:rsidRPr="00814568">
        <w:rPr>
          <w:lang w:val="en-GB"/>
        </w:rPr>
        <w:t>n</w:t>
      </w:r>
      <w:r w:rsidRPr="00814568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in the previous year</w:t>
      </w:r>
      <w:r w:rsidRPr="00814568">
        <w:rPr>
          <w:spacing w:val="-1"/>
          <w:lang w:val="en-GB"/>
        </w:rPr>
        <w:t>),</w:t>
      </w:r>
      <w:r w:rsidRPr="00814568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 xml:space="preserve">with a simultaneous increase of net profit </w:t>
      </w:r>
      <w:r>
        <w:rPr>
          <w:lang w:val="en-GB"/>
        </w:rPr>
        <w:t>(by 29.0</w:t>
      </w:r>
      <w:r w:rsidRPr="00814568">
        <w:rPr>
          <w:spacing w:val="-1"/>
          <w:lang w:val="en-GB"/>
        </w:rPr>
        <w:t>%)</w:t>
      </w:r>
      <w:r w:rsidRPr="00814568">
        <w:rPr>
          <w:spacing w:val="-4"/>
          <w:lang w:val="en-GB"/>
        </w:rPr>
        <w:t xml:space="preserve"> </w:t>
      </w:r>
      <w:r>
        <w:rPr>
          <w:lang w:val="en-GB"/>
        </w:rPr>
        <w:t>and decrease of net loss</w:t>
      </w:r>
      <w:r w:rsidRPr="00814568">
        <w:rPr>
          <w:spacing w:val="-5"/>
          <w:lang w:val="en-GB"/>
        </w:rPr>
        <w:t xml:space="preserve"> </w:t>
      </w:r>
      <w:r>
        <w:rPr>
          <w:lang w:val="en-GB"/>
        </w:rPr>
        <w:t>(by</w:t>
      </w:r>
      <w:r w:rsidRPr="00814568">
        <w:rPr>
          <w:spacing w:val="-4"/>
          <w:lang w:val="en-GB"/>
        </w:rPr>
        <w:t xml:space="preserve"> </w:t>
      </w:r>
      <w:r>
        <w:rPr>
          <w:spacing w:val="-1"/>
          <w:lang w:val="en-GB"/>
        </w:rPr>
        <w:t>21.1</w:t>
      </w:r>
      <w:r w:rsidRPr="00814568">
        <w:rPr>
          <w:spacing w:val="-1"/>
          <w:lang w:val="en-GB"/>
        </w:rPr>
        <w:t>%).</w:t>
      </w:r>
    </w:p>
    <w:p w14:paraId="063BF96A" w14:textId="13B93E39" w:rsidR="00E25A82" w:rsidRPr="00A32E4E" w:rsidRDefault="00E25A82" w:rsidP="00E25A82">
      <w:pPr>
        <w:rPr>
          <w:rFonts w:eastAsia="Times New Roman" w:cs="Fira Sans"/>
          <w:spacing w:val="-1"/>
          <w:szCs w:val="19"/>
          <w:lang w:val="en-GB" w:eastAsia="pl-PL"/>
        </w:rPr>
      </w:pPr>
      <w:r w:rsidRPr="00920EB2">
        <w:rPr>
          <w:rFonts w:eastAsia="Times New Roman" w:cs="Fira Sans"/>
          <w:spacing w:val="-1"/>
          <w:szCs w:val="19"/>
          <w:lang w:val="en-GB" w:eastAsia="pl-PL"/>
        </w:rPr>
        <w:t>In 1</w:t>
      </w:r>
      <w:r w:rsidRPr="0020304D">
        <w:rPr>
          <w:rFonts w:eastAsia="Times New Roman" w:cs="Fira Sans"/>
          <w:spacing w:val="-1"/>
          <w:szCs w:val="19"/>
          <w:lang w:val="en-GB" w:eastAsia="pl-PL"/>
        </w:rPr>
        <w:t>st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half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 xml:space="preserve"> of 2020 investment outlays of cultural institutions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were at the same level as in the previous year and 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 xml:space="preserve">amounted to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E25A82">
        <w:rPr>
          <w:rFonts w:eastAsia="Times New Roman" w:cs="Fira Sans"/>
          <w:spacing w:val="-1"/>
          <w:szCs w:val="19"/>
          <w:lang w:val="en-US" w:eastAsia="pl-PL"/>
        </w:rPr>
        <w:t>494</w:t>
      </w:r>
      <w:r>
        <w:rPr>
          <w:rFonts w:eastAsia="Times New Roman" w:cs="Fira Sans"/>
          <w:spacing w:val="-1"/>
          <w:szCs w:val="19"/>
          <w:lang w:val="en-US" w:eastAsia="pl-PL"/>
        </w:rPr>
        <w:t>.</w:t>
      </w:r>
      <w:r w:rsidRPr="00E25A82">
        <w:rPr>
          <w:rFonts w:eastAsia="Times New Roman" w:cs="Fira Sans"/>
          <w:spacing w:val="-1"/>
          <w:szCs w:val="19"/>
          <w:lang w:val="en-US" w:eastAsia="pl-PL"/>
        </w:rPr>
        <w:t>1</w:t>
      </w:r>
      <w:r w:rsidRPr="00920EB2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million. 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The largest share in investment outlays had institutions in </w:t>
      </w:r>
      <w:proofErr w:type="spellStart"/>
      <w:r w:rsidRPr="00A32E4E"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 Voivodship (2</w:t>
      </w:r>
      <w:r>
        <w:rPr>
          <w:rFonts w:eastAsia="Times New Roman" w:cs="Fira Sans"/>
          <w:spacing w:val="-1"/>
          <w:szCs w:val="19"/>
          <w:lang w:val="en-GB" w:eastAsia="pl-PL"/>
        </w:rPr>
        <w:t>3.7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%), </w:t>
      </w:r>
      <w:r>
        <w:rPr>
          <w:rFonts w:eastAsia="Times New Roman" w:cs="Fira Sans"/>
          <w:spacing w:val="-1"/>
          <w:szCs w:val="19"/>
          <w:lang w:val="en-GB" w:eastAsia="pl-PL"/>
        </w:rPr>
        <w:t>followed by entities from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M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>ałopolski</w:t>
      </w:r>
      <w:r>
        <w:rPr>
          <w:rFonts w:eastAsia="Times New Roman" w:cs="Fira Sans"/>
          <w:spacing w:val="-1"/>
          <w:szCs w:val="19"/>
          <w:lang w:val="en-GB" w:eastAsia="pl-PL"/>
        </w:rPr>
        <w:t>e</w:t>
      </w:r>
      <w:proofErr w:type="spellEnd"/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 (</w:t>
      </w:r>
      <w:r>
        <w:rPr>
          <w:rFonts w:eastAsia="Times New Roman" w:cs="Fira Sans"/>
          <w:spacing w:val="-1"/>
          <w:szCs w:val="19"/>
          <w:lang w:val="en-GB" w:eastAsia="pl-PL"/>
        </w:rPr>
        <w:t>11.8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>%)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and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Wielkopolskie</w:t>
      </w:r>
      <w:proofErr w:type="spellEnd"/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 (</w:t>
      </w:r>
      <w:r>
        <w:rPr>
          <w:rFonts w:eastAsia="Times New Roman" w:cs="Fira Sans"/>
          <w:spacing w:val="-1"/>
          <w:szCs w:val="19"/>
          <w:lang w:val="en-GB" w:eastAsia="pl-PL"/>
        </w:rPr>
        <w:t>9.3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>%)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Voivodships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</w:p>
    <w:p w14:paraId="35AA237A" w14:textId="346A9491" w:rsidR="00544646" w:rsidRPr="004146B7" w:rsidRDefault="004146B7" w:rsidP="0085106E">
      <w:pPr>
        <w:rPr>
          <w:noProof/>
          <w:lang w:val="en-US" w:eastAsia="pl-PL"/>
        </w:rPr>
      </w:pP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Local government cultural institutions incurred investment outlays of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PLN </w:t>
      </w:r>
      <w:r w:rsidRPr="004146B7">
        <w:rPr>
          <w:rFonts w:eastAsia="Times New Roman" w:cs="Fira Sans"/>
          <w:spacing w:val="-1"/>
          <w:szCs w:val="19"/>
          <w:lang w:val="en-US" w:eastAsia="pl-PL"/>
        </w:rPr>
        <w:t xml:space="preserve">385,1 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>m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illion </w:t>
      </w:r>
      <w:r>
        <w:rPr>
          <w:rFonts w:eastAsia="Times New Roman" w:cs="Fira Sans"/>
          <w:spacing w:val="-1"/>
          <w:szCs w:val="19"/>
          <w:lang w:val="en-GB" w:eastAsia="pl-PL"/>
        </w:rPr>
        <w:br/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i.e</w:t>
      </w:r>
      <w:proofErr w:type="spellEnd"/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>7</w:t>
      </w:r>
      <w:r>
        <w:rPr>
          <w:rFonts w:eastAsia="Times New Roman" w:cs="Fira Sans"/>
          <w:spacing w:val="-1"/>
          <w:szCs w:val="19"/>
          <w:lang w:val="en-GB" w:eastAsia="pl-PL"/>
        </w:rPr>
        <w:t>7.9</w:t>
      </w:r>
      <w:r w:rsidRPr="00A32E4E">
        <w:rPr>
          <w:rFonts w:eastAsia="Times New Roman" w:cs="Fira Sans"/>
          <w:spacing w:val="-1"/>
          <w:szCs w:val="19"/>
          <w:lang w:val="en-GB" w:eastAsia="pl-PL"/>
        </w:rPr>
        <w:t xml:space="preserve">% </w:t>
      </w:r>
      <w:r>
        <w:rPr>
          <w:rFonts w:eastAsia="Times New Roman" w:cs="Fira Sans"/>
          <w:spacing w:val="-1"/>
          <w:szCs w:val="19"/>
          <w:lang w:val="en-GB" w:eastAsia="pl-PL"/>
        </w:rPr>
        <w:t>of the total amount of investment outlays</w:t>
      </w:r>
      <w:r w:rsidR="0020304D">
        <w:rPr>
          <w:rFonts w:eastAsia="Times New Roman" w:cs="Fira Sans"/>
          <w:spacing w:val="-1"/>
          <w:szCs w:val="19"/>
          <w:lang w:val="en-GB" w:eastAsia="pl-PL"/>
        </w:rPr>
        <w:t>.</w:t>
      </w:r>
    </w:p>
    <w:p w14:paraId="7005E9A0" w14:textId="3019F156" w:rsidR="00544646" w:rsidRPr="004146B7" w:rsidRDefault="00544646" w:rsidP="0085106E">
      <w:pPr>
        <w:rPr>
          <w:noProof/>
          <w:lang w:val="en-US" w:eastAsia="pl-PL"/>
        </w:rPr>
      </w:pPr>
    </w:p>
    <w:p w14:paraId="572EA261" w14:textId="579619DA" w:rsidR="0085106E" w:rsidRDefault="00B636D9" w:rsidP="0085106E">
      <w:pPr>
        <w:rPr>
          <w:rFonts w:cs="Fira Sans"/>
          <w:b/>
          <w:spacing w:val="-1"/>
          <w:sz w:val="18"/>
          <w:szCs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9488" behindDoc="0" locked="0" layoutInCell="1" allowOverlap="1" wp14:anchorId="20282A65" wp14:editId="2A86C70B">
            <wp:simplePos x="0" y="0"/>
            <wp:positionH relativeFrom="margin">
              <wp:posOffset>190196</wp:posOffset>
            </wp:positionH>
            <wp:positionV relativeFrom="paragraph">
              <wp:posOffset>299111</wp:posOffset>
            </wp:positionV>
            <wp:extent cx="4572000" cy="2238375"/>
            <wp:effectExtent l="0" t="0" r="0" b="0"/>
            <wp:wrapTopAndBottom/>
            <wp:docPr id="1" name="Wykres 1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7217714B-2A8E-42AB-BD69-F5F0A1C13E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6B7">
        <w:rPr>
          <w:rFonts w:eastAsia="Times New Roman" w:cs="Fira Sans"/>
          <w:b/>
          <w:bCs/>
          <w:spacing w:val="-1"/>
          <w:sz w:val="18"/>
          <w:szCs w:val="18"/>
          <w:lang w:val="en-US" w:eastAsia="pl-PL"/>
        </w:rPr>
        <w:t>C</w:t>
      </w:r>
      <w:r w:rsidR="004146B7" w:rsidRPr="001445E0">
        <w:rPr>
          <w:rFonts w:eastAsia="Times New Roman" w:cs="Fira Sans"/>
          <w:b/>
          <w:bCs/>
          <w:spacing w:val="-1"/>
          <w:sz w:val="18"/>
          <w:szCs w:val="18"/>
          <w:lang w:val="en-US" w:eastAsia="pl-PL"/>
        </w:rPr>
        <w:t xml:space="preserve">hart 1. </w:t>
      </w:r>
      <w:r w:rsidR="004146B7" w:rsidRPr="008F5746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The structure of investment outlays by </w:t>
      </w:r>
      <w:r w:rsidR="004146B7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legal forms in 1</w:t>
      </w:r>
      <w:r w:rsidR="004146B7" w:rsidRPr="0020304D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>st</w:t>
      </w:r>
      <w:r w:rsidR="004146B7">
        <w:rPr>
          <w:rFonts w:eastAsia="Times New Roman" w:cs="Fira Sans"/>
          <w:b/>
          <w:bCs/>
          <w:spacing w:val="-1"/>
          <w:sz w:val="18"/>
          <w:szCs w:val="18"/>
          <w:lang w:val="en-GB" w:eastAsia="pl-PL"/>
        </w:rPr>
        <w:t xml:space="preserve"> half</w:t>
      </w:r>
      <w:r w:rsidR="004146B7" w:rsidRPr="008F5746">
        <w:rPr>
          <w:rFonts w:cs="Fira Sans"/>
          <w:b/>
          <w:spacing w:val="-1"/>
          <w:sz w:val="18"/>
          <w:szCs w:val="18"/>
          <w:lang w:val="en-GB"/>
        </w:rPr>
        <w:t xml:space="preserve"> </w:t>
      </w:r>
      <w:r w:rsidR="004146B7">
        <w:rPr>
          <w:rFonts w:cs="Fira Sans"/>
          <w:b/>
          <w:spacing w:val="-1"/>
          <w:sz w:val="18"/>
          <w:szCs w:val="18"/>
          <w:lang w:val="en-GB"/>
        </w:rPr>
        <w:t>of 2020</w:t>
      </w:r>
    </w:p>
    <w:p w14:paraId="6D56D944" w14:textId="5AC4305C" w:rsidR="00B636D9" w:rsidRPr="004146B7" w:rsidRDefault="00B636D9" w:rsidP="0085106E">
      <w:pPr>
        <w:rPr>
          <w:rFonts w:cs="Fira Sans"/>
          <w:b/>
          <w:spacing w:val="-1"/>
          <w:sz w:val="18"/>
          <w:szCs w:val="18"/>
          <w:lang w:val="en-GB"/>
        </w:rPr>
      </w:pPr>
    </w:p>
    <w:p w14:paraId="135E7F1B" w14:textId="3829881B" w:rsidR="004146B7" w:rsidRPr="004146B7" w:rsidRDefault="004146B7" w:rsidP="004146B7">
      <w:pPr>
        <w:spacing w:after="240"/>
        <w:rPr>
          <w:rFonts w:eastAsia="Times New Roman" w:cs="Fira Sans"/>
          <w:spacing w:val="-1"/>
          <w:szCs w:val="19"/>
          <w:lang w:val="en-GB" w:eastAsia="pl-PL"/>
        </w:rPr>
      </w:pP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Outlays on intangible fixed assets </w:t>
      </w:r>
      <w:r>
        <w:rPr>
          <w:rFonts w:eastAsia="Times New Roman" w:cs="Fira Sans"/>
          <w:spacing w:val="-1"/>
          <w:szCs w:val="19"/>
          <w:lang w:val="en-GB" w:eastAsia="pl-PL"/>
        </w:rPr>
        <w:t>decreased in comparison to 1</w:t>
      </w:r>
      <w:r w:rsidRPr="0020304D">
        <w:rPr>
          <w:rFonts w:eastAsia="Times New Roman" w:cs="Fira Sans"/>
          <w:spacing w:val="-1"/>
          <w:szCs w:val="19"/>
          <w:lang w:val="en-GB" w:eastAsia="pl-PL"/>
        </w:rPr>
        <w:t xml:space="preserve">st </w:t>
      </w:r>
      <w:r>
        <w:rPr>
          <w:rFonts w:eastAsia="Times New Roman" w:cs="Fira Sans"/>
          <w:spacing w:val="-1"/>
          <w:szCs w:val="19"/>
          <w:lang w:val="en-GB" w:eastAsia="pl-PL"/>
        </w:rPr>
        <w:t>half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of 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2019 </w:t>
      </w:r>
      <w:r>
        <w:rPr>
          <w:rFonts w:eastAsia="Times New Roman" w:cs="Fira Sans"/>
          <w:spacing w:val="-1"/>
          <w:szCs w:val="19"/>
          <w:lang w:val="en-GB" w:eastAsia="pl-PL"/>
        </w:rPr>
        <w:t>by 24.7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>%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br/>
        <w:t>and amounted to PLN 7.8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 m</w:t>
      </w:r>
      <w:r>
        <w:rPr>
          <w:rFonts w:eastAsia="Times New Roman" w:cs="Fira Sans"/>
          <w:spacing w:val="-1"/>
          <w:szCs w:val="19"/>
          <w:lang w:val="en-GB" w:eastAsia="pl-PL"/>
        </w:rPr>
        <w:t>il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>l</w:t>
      </w:r>
      <w:r>
        <w:rPr>
          <w:rFonts w:eastAsia="Times New Roman" w:cs="Fira Sans"/>
          <w:spacing w:val="-1"/>
          <w:szCs w:val="19"/>
          <w:lang w:val="en-GB" w:eastAsia="pl-PL"/>
        </w:rPr>
        <w:t>ion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 w:rsidRPr="00977E4B">
        <w:rPr>
          <w:lang w:val="en-GB"/>
        </w:rPr>
        <w:t xml:space="preserve">Entities from </w:t>
      </w:r>
      <w:proofErr w:type="spellStart"/>
      <w:r w:rsidRPr="00977E4B">
        <w:rPr>
          <w:lang w:val="en-GB"/>
        </w:rPr>
        <w:t>Mazowieckie</w:t>
      </w:r>
      <w:proofErr w:type="spellEnd"/>
      <w:r w:rsidRPr="00977E4B">
        <w:rPr>
          <w:lang w:val="en-GB"/>
        </w:rPr>
        <w:t xml:space="preserve"> and </w:t>
      </w:r>
      <w:proofErr w:type="spellStart"/>
      <w:r w:rsidRPr="00977E4B">
        <w:rPr>
          <w:lang w:val="en-GB"/>
        </w:rPr>
        <w:t>Małopolskie</w:t>
      </w:r>
      <w:proofErr w:type="spellEnd"/>
      <w:r w:rsidRPr="00977E4B">
        <w:rPr>
          <w:lang w:val="en-GB"/>
        </w:rPr>
        <w:t xml:space="preserve"> Voivodships had altogether </w:t>
      </w:r>
      <w:r>
        <w:rPr>
          <w:lang w:val="en-GB"/>
        </w:rPr>
        <w:t>68.3</w:t>
      </w:r>
      <w:r w:rsidRPr="00977E4B">
        <w:rPr>
          <w:lang w:val="en-GB"/>
        </w:rPr>
        <w:t xml:space="preserve">% </w:t>
      </w:r>
      <w:r>
        <w:rPr>
          <w:lang w:val="en-GB"/>
        </w:rPr>
        <w:t>share in this type of outlays</w:t>
      </w:r>
      <w:r w:rsidRPr="00977E4B">
        <w:rPr>
          <w:lang w:val="en-GB"/>
        </w:rPr>
        <w:t>.</w:t>
      </w:r>
      <w:r w:rsidRPr="00977E4B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</w:p>
    <w:p w14:paraId="36028B38" w14:textId="77777777" w:rsidR="004146B7" w:rsidRDefault="004146B7" w:rsidP="004146B7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 w:after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 w:rsidRPr="001445E0">
        <w:rPr>
          <w:rFonts w:ascii="Fira Sans" w:hAnsi="Fira Sans" w:cs="Fira Sans"/>
          <w:b/>
          <w:color w:val="auto"/>
          <w:spacing w:val="-1"/>
          <w:sz w:val="18"/>
          <w:szCs w:val="18"/>
          <w:lang w:val="en-US"/>
        </w:rPr>
        <w:t xml:space="preserve">Table 2. 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Total revenues and total costs of cultural institutions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according to selected divisions </w:t>
      </w:r>
    </w:p>
    <w:p w14:paraId="1AA3A908" w14:textId="375E4FD6" w:rsidR="004146B7" w:rsidRPr="002A5448" w:rsidRDefault="004146B7" w:rsidP="004146B7">
      <w:pPr>
        <w:pStyle w:val="Nagwek1"/>
        <w:keepNext w:val="0"/>
        <w:widowControl w:val="0"/>
        <w:kinsoku w:val="0"/>
        <w:overflowPunct w:val="0"/>
        <w:autoSpaceDE w:val="0"/>
        <w:autoSpaceDN w:val="0"/>
        <w:adjustRightInd w:val="0"/>
        <w:spacing w:before="0"/>
        <w:ind w:left="851" w:right="130" w:hanging="851"/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</w:pP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               and groups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of PKD classification</w:t>
      </w:r>
      <w:r w:rsidRPr="002A5448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in 1</w:t>
      </w:r>
      <w:r w:rsidRPr="0020304D"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>st</w:t>
      </w:r>
      <w:r>
        <w:rPr>
          <w:rFonts w:ascii="Fira Sans" w:hAnsi="Fira Sans" w:cs="Fira Sans"/>
          <w:b/>
          <w:color w:val="auto"/>
          <w:spacing w:val="-1"/>
          <w:sz w:val="18"/>
          <w:szCs w:val="18"/>
          <w:lang w:val="en-GB"/>
        </w:rPr>
        <w:t xml:space="preserve"> half of 2020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275"/>
        <w:gridCol w:w="1276"/>
        <w:gridCol w:w="1278"/>
      </w:tblGrid>
      <w:tr w:rsidR="004146B7" w:rsidRPr="00623C37" w14:paraId="4648CA94" w14:textId="77777777" w:rsidTr="009B6427">
        <w:trPr>
          <w:trHeight w:hRule="exact" w:val="910"/>
        </w:trPr>
        <w:tc>
          <w:tcPr>
            <w:tcW w:w="3828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1BF2A892" w14:textId="612CDAAE" w:rsidR="004146B7" w:rsidRPr="00623C37" w:rsidRDefault="004146B7" w:rsidP="004146B7">
            <w:pPr>
              <w:pStyle w:val="TableParagraph"/>
              <w:kinsoku w:val="0"/>
              <w:overflowPunct w:val="0"/>
              <w:spacing w:line="191" w:lineRule="exact"/>
              <w:jc w:val="center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508C903F" w14:textId="77777777" w:rsidR="004146B7" w:rsidRDefault="004146B7" w:rsidP="004146B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Number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</w:p>
          <w:p w14:paraId="3B869183" w14:textId="77777777" w:rsidR="004146B7" w:rsidRDefault="004146B7" w:rsidP="004146B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cultural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</w:p>
          <w:p w14:paraId="284C1B1C" w14:textId="34891326" w:rsidR="004146B7" w:rsidRPr="00623C37" w:rsidRDefault="004146B7" w:rsidP="004146B7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institutions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53084B" w14:textId="77777777" w:rsidR="004146B7" w:rsidRDefault="004146B7" w:rsidP="004146B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</w:p>
          <w:p w14:paraId="6E442FF4" w14:textId="5671FC29" w:rsidR="004146B7" w:rsidRPr="00623C37" w:rsidRDefault="004146B7" w:rsidP="004146B7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revenues</w:t>
            </w:r>
            <w:proofErr w:type="spellEnd"/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5158F169" w14:textId="77777777" w:rsidR="004146B7" w:rsidRDefault="004146B7" w:rsidP="004146B7">
            <w:pPr>
              <w:pStyle w:val="TableParagraph"/>
              <w:kinsoku w:val="0"/>
              <w:overflowPunct w:val="0"/>
              <w:jc w:val="center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Total </w:t>
            </w:r>
          </w:p>
          <w:p w14:paraId="4F608E88" w14:textId="5C322F45" w:rsidR="004146B7" w:rsidRPr="00623C37" w:rsidRDefault="004146B7" w:rsidP="004146B7">
            <w:pPr>
              <w:pStyle w:val="TableParagraph"/>
              <w:kinsoku w:val="0"/>
              <w:overflowPunct w:val="0"/>
              <w:jc w:val="center"/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costs</w:t>
            </w:r>
            <w:proofErr w:type="spellEnd"/>
          </w:p>
        </w:tc>
      </w:tr>
      <w:tr w:rsidR="004146B7" w:rsidRPr="00623C37" w14:paraId="2F6C9C4B" w14:textId="77777777" w:rsidTr="009B6427">
        <w:trPr>
          <w:trHeight w:hRule="exact" w:val="336"/>
        </w:trPr>
        <w:tc>
          <w:tcPr>
            <w:tcW w:w="3828" w:type="dxa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14:paraId="71905B11" w14:textId="77777777" w:rsidR="004146B7" w:rsidRPr="00623C37" w:rsidRDefault="004146B7" w:rsidP="004146B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A028A12" w14:textId="77777777" w:rsidR="004146B7" w:rsidRPr="00623C37" w:rsidRDefault="004146B7" w:rsidP="004146B7">
            <w:pPr>
              <w:pStyle w:val="TableParagraph"/>
              <w:kinsoku w:val="0"/>
              <w:overflowPunct w:val="0"/>
              <w:jc w:val="center"/>
            </w:pPr>
          </w:p>
        </w:tc>
        <w:tc>
          <w:tcPr>
            <w:tcW w:w="2554" w:type="dxa"/>
            <w:gridSpan w:val="2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5E77A7C8" w14:textId="6825E6CD" w:rsidR="004146B7" w:rsidRPr="00623C37" w:rsidRDefault="004146B7" w:rsidP="004146B7">
            <w:pPr>
              <w:pStyle w:val="TableParagraph"/>
              <w:kinsoku w:val="0"/>
              <w:overflowPunct w:val="0"/>
              <w:spacing w:after="120" w:line="240" w:lineRule="exact"/>
              <w:jc w:val="center"/>
            </w:pPr>
            <w:r>
              <w:rPr>
                <w:rFonts w:ascii="Fira Sans" w:hAnsi="Fira Sans" w:cs="Fira Sans"/>
                <w:sz w:val="16"/>
                <w:szCs w:val="16"/>
              </w:rPr>
              <w:t>in milion PLN</w:t>
            </w:r>
          </w:p>
        </w:tc>
      </w:tr>
      <w:tr w:rsidR="004146B7" w:rsidRPr="00623C37" w14:paraId="3874D220" w14:textId="77777777" w:rsidTr="009B6427">
        <w:trPr>
          <w:trHeight w:val="301"/>
        </w:trPr>
        <w:tc>
          <w:tcPr>
            <w:tcW w:w="382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4ADA7" w14:textId="2991C971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</w:rPr>
              <w:t>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6D9A7" w14:textId="45236455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2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4,702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88AA6B" w14:textId="71F10A2B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4,658.1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FEA109" w14:textId="5864B805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</w:rPr>
              <w:t>4,179.7</w:t>
            </w:r>
          </w:p>
        </w:tc>
      </w:tr>
      <w:tr w:rsidR="004146B7" w:rsidRPr="00623C37" w14:paraId="0DBB0DD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ADF934" w14:textId="17878F50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local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government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units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property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E2917" w14:textId="79CCD908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4,636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B3218" w14:textId="69457272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3,808.5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7D9B49" w14:textId="2AF47FAB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3,450.6</w:t>
            </w:r>
          </w:p>
        </w:tc>
      </w:tr>
      <w:tr w:rsidR="004146B7" w:rsidRPr="00623C37" w14:paraId="0535BF97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C0E0402" w14:textId="5C44566A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/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state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property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CAEF3" w14:textId="349503FD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905B2D" w14:textId="659F1120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849.6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677FC" w14:textId="0C59308D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729.1</w:t>
            </w:r>
          </w:p>
        </w:tc>
      </w:tr>
      <w:tr w:rsidR="004146B7" w:rsidRPr="00623C37" w14:paraId="05C6B296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03B5F1" w14:textId="4B6C2DE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From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total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7DBF1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6D98AC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86DC85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4146B7" w:rsidRPr="00623C37" w14:paraId="4D6AA10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BDD6EC" w14:textId="31487C7C" w:rsidR="004146B7" w:rsidRP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380"/>
              <w:rPr>
                <w:lang w:val="en-US"/>
              </w:rPr>
            </w:pP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EAD894" w14:textId="42AF0509" w:rsidR="004146B7" w:rsidRPr="00630C6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2,299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836C20" w14:textId="28448131" w:rsidR="004146B7" w:rsidRPr="00630C6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2,782.8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D7D09C" w14:textId="00D29386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</w:pPr>
            <w:r>
              <w:rPr>
                <w:rFonts w:ascii="Fira Sans" w:hAnsi="Fira Sans" w:cs="Fira Sans"/>
                <w:spacing w:val="1"/>
                <w:sz w:val="16"/>
                <w:szCs w:val="16"/>
              </w:rPr>
              <w:t>2,426.0</w:t>
            </w:r>
          </w:p>
        </w:tc>
      </w:tr>
      <w:tr w:rsidR="004146B7" w:rsidRPr="00623C37" w14:paraId="30B499DB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AF5CE9" w14:textId="5589347F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C1D4C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4CF7D4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C465F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4146B7" w:rsidRPr="00623C37" w14:paraId="7E48EB40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5DA028" w14:textId="7056847B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performing </w:t>
            </w:r>
            <w:proofErr w:type="spellStart"/>
            <w:r w:rsidRPr="00215BFB">
              <w:rPr>
                <w:rFonts w:ascii="Fira Sans" w:hAnsi="Fira Sans" w:cs="Fira Sans"/>
                <w:spacing w:val="-1"/>
                <w:sz w:val="16"/>
                <w:szCs w:val="16"/>
              </w:rPr>
              <w:t>arts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D60B8D" w14:textId="135A220C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154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60527" w14:textId="5543E129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903.4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807657" w14:textId="43521055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849.1</w:t>
            </w:r>
          </w:p>
        </w:tc>
      </w:tr>
      <w:tr w:rsidR="004146B7" w:rsidRPr="00623C37" w14:paraId="7B15C0E8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5FBFF" w14:textId="2FFEC840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9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operation of arts facilities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14852" w14:textId="4F61114C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2,134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502DBC" w14:textId="671CFF5A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1,813.3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F744C2" w14:textId="29722B56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83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1,524.4</w:t>
            </w:r>
          </w:p>
        </w:tc>
      </w:tr>
      <w:tr w:rsidR="004146B7" w:rsidRPr="00623C37" w14:paraId="507C8B3C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C967CFF" w14:textId="44719E67" w:rsidR="004146B7" w:rsidRP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lang w:val="en-US"/>
              </w:rPr>
            </w:pP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 xml:space="preserve">libraries, archives, museums and other cultural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br/>
              <w:t xml:space="preserve">  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45E7BB" w14:textId="36563F9E" w:rsidR="004146B7" w:rsidRPr="00630C6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 w:rsidRPr="004146B7">
              <w:rPr>
                <w:rFonts w:ascii="Fira Sans" w:hAnsi="Fira Sans" w:cs="Fira Sans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Fira Sans" w:hAnsi="Fira Sans" w:cs="Fira Sans"/>
                <w:sz w:val="16"/>
                <w:szCs w:val="16"/>
              </w:rPr>
              <w:t>2,397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D7A10B" w14:textId="5E7D15A2" w:rsidR="004146B7" w:rsidRPr="00630C6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1,793.1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49C7A3" w14:textId="1BF549CD" w:rsidR="004146B7" w:rsidRPr="00623C3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</w:pPr>
            <w:r>
              <w:rPr>
                <w:rFonts w:ascii="Fira Sans" w:hAnsi="Fira Sans" w:cs="Fira Sans"/>
                <w:sz w:val="16"/>
                <w:szCs w:val="16"/>
              </w:rPr>
              <w:t>1,670.2</w:t>
            </w:r>
          </w:p>
        </w:tc>
      </w:tr>
      <w:tr w:rsidR="004146B7" w:rsidRPr="00623C37" w14:paraId="731BAB7A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4F66087" w14:textId="283F2674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   of </w:t>
            </w: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which</w:t>
            </w:r>
            <w:proofErr w:type="spellEnd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: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1EBD2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61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0836D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5E9F8D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rPr>
                <w:rFonts w:ascii="Fira Sans" w:hAnsi="Fira Sans" w:cs="Fira Sans"/>
                <w:spacing w:val="1"/>
                <w:sz w:val="16"/>
                <w:szCs w:val="16"/>
              </w:rPr>
            </w:pPr>
          </w:p>
        </w:tc>
      </w:tr>
      <w:tr w:rsidR="004146B7" w:rsidRPr="00623C37" w14:paraId="700C393D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8E5D90" w14:textId="7FC18B55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ibrary and archives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A802B3" w14:textId="3743FE80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2,008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7C7F5D" w14:textId="0CE3E89B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847.7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F1A2D" w14:textId="44ADB953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785.0</w:t>
            </w:r>
          </w:p>
        </w:tc>
      </w:tr>
      <w:tr w:rsidR="004146B7" w:rsidRPr="00623C37" w14:paraId="3165EC43" w14:textId="77777777" w:rsidTr="009B6427">
        <w:trPr>
          <w:trHeight w:val="301"/>
        </w:trPr>
        <w:tc>
          <w:tcPr>
            <w:tcW w:w="3828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1FFCD3F8" w14:textId="2D771E84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378"/>
              <w:rPr>
                <w:rFonts w:ascii="Fira Sans" w:hAnsi="Fira Sans" w:cs="Fira Sans"/>
                <w:spacing w:val="-1"/>
                <w:sz w:val="16"/>
                <w:szCs w:val="16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     </w:t>
            </w:r>
            <w:r w:rsidRPr="00215BFB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museums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5C9FD8" w14:textId="7777777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 w:right="61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380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CF7A4" w14:textId="485112A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905.4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64FDB6" w14:textId="68D1EC57" w:rsidR="004146B7" w:rsidRDefault="004146B7" w:rsidP="004146B7">
            <w:pPr>
              <w:pStyle w:val="TableParagraph"/>
              <w:kinsoku w:val="0"/>
              <w:overflowPunct w:val="0"/>
              <w:spacing w:line="240" w:lineRule="exact"/>
              <w:ind w:left="68"/>
              <w:jc w:val="right"/>
              <w:rPr>
                <w:rFonts w:ascii="Fira Sans" w:hAnsi="Fira Sans" w:cs="Fira Sans"/>
                <w:spacing w:val="1"/>
                <w:sz w:val="16"/>
                <w:szCs w:val="16"/>
              </w:rPr>
            </w:pPr>
            <w:r>
              <w:rPr>
                <w:rFonts w:ascii="Fira Sans" w:hAnsi="Fira Sans" w:cs="Fira Sans"/>
                <w:sz w:val="16"/>
                <w:szCs w:val="16"/>
              </w:rPr>
              <w:t>846.1</w:t>
            </w:r>
          </w:p>
        </w:tc>
      </w:tr>
    </w:tbl>
    <w:p w14:paraId="0704A4D8" w14:textId="77777777" w:rsidR="004146B7" w:rsidRPr="00AA396F" w:rsidRDefault="004146B7" w:rsidP="004146B7">
      <w:pPr>
        <w:pStyle w:val="Nagwek1"/>
        <w:spacing w:after="240"/>
        <w:rPr>
          <w:rFonts w:ascii="Fira Sans" w:hAnsi="Fira Sans"/>
          <w:color w:val="auto"/>
          <w:szCs w:val="19"/>
          <w:lang w:val="en-GB"/>
        </w:rPr>
      </w:pPr>
      <w:r w:rsidRPr="00AA396F">
        <w:rPr>
          <w:rFonts w:ascii="Fira Sans" w:hAnsi="Fira Sans"/>
          <w:color w:val="auto"/>
          <w:szCs w:val="19"/>
          <w:lang w:val="en-US"/>
        </w:rPr>
        <w:t xml:space="preserve">The data presented in this study were prepared on the basis of the form with the symbol </w:t>
      </w:r>
      <w:r>
        <w:rPr>
          <w:rFonts w:ascii="Fira Sans" w:hAnsi="Fira Sans"/>
          <w:color w:val="auto"/>
          <w:szCs w:val="19"/>
          <w:lang w:val="en-US"/>
        </w:rPr>
        <w:br/>
      </w:r>
      <w:r w:rsidRPr="00AA396F">
        <w:rPr>
          <w:rFonts w:ascii="Fira Sans" w:hAnsi="Fira Sans"/>
          <w:color w:val="auto"/>
          <w:szCs w:val="19"/>
          <w:lang w:val="en-GB"/>
        </w:rPr>
        <w:t>F-01/</w:t>
      </w:r>
      <w:proofErr w:type="spellStart"/>
      <w:r w:rsidRPr="00AA396F">
        <w:rPr>
          <w:rFonts w:ascii="Fira Sans" w:hAnsi="Fira Sans"/>
          <w:color w:val="auto"/>
          <w:szCs w:val="19"/>
          <w:lang w:val="en-GB"/>
        </w:rPr>
        <w:t>dk</w:t>
      </w:r>
      <w:proofErr w:type="spellEnd"/>
      <w:r w:rsidRPr="00AA396F">
        <w:rPr>
          <w:rFonts w:ascii="Fira Sans" w:hAnsi="Fira Sans"/>
          <w:color w:val="auto"/>
          <w:szCs w:val="19"/>
          <w:lang w:val="en-GB"/>
        </w:rPr>
        <w:t xml:space="preserve"> </w:t>
      </w:r>
      <w:r>
        <w:rPr>
          <w:rFonts w:ascii="Fira Sans" w:hAnsi="Fira Sans"/>
          <w:i/>
          <w:color w:val="auto"/>
          <w:szCs w:val="19"/>
          <w:lang w:val="en-GB"/>
        </w:rPr>
        <w:t>Quarterly report on the finances of cultural institutions</w:t>
      </w:r>
    </w:p>
    <w:p w14:paraId="5834B228" w14:textId="77777777" w:rsidR="004146B7" w:rsidRDefault="004146B7" w:rsidP="004146B7">
      <w:pPr>
        <w:rPr>
          <w:lang w:val="en-US" w:eastAsia="pl-PL"/>
        </w:rPr>
      </w:pPr>
      <w:r>
        <w:rPr>
          <w:lang w:val="en-GB" w:eastAsia="pl-PL"/>
        </w:rPr>
        <w:t>I</w:t>
      </w:r>
      <w:proofErr w:type="spellStart"/>
      <w:r w:rsidRPr="0068642D">
        <w:rPr>
          <w:lang w:val="en-US" w:eastAsia="pl-PL"/>
        </w:rPr>
        <w:t>n</w:t>
      </w:r>
      <w:proofErr w:type="spellEnd"/>
      <w:r w:rsidRPr="0068642D">
        <w:rPr>
          <w:lang w:val="en-US" w:eastAsia="pl-PL"/>
        </w:rPr>
        <w:t xml:space="preserve"> the case of quoting data from the Statistics Poland, please provide information: "Statistics Poland data source", and in the case of publishing calculations made on data published by the Statistics Poland, please provide information: "Own study based on Statistics Poland data".</w:t>
      </w:r>
    </w:p>
    <w:p w14:paraId="3928E283" w14:textId="77777777" w:rsidR="004146B7" w:rsidRPr="00AA396F" w:rsidRDefault="004146B7" w:rsidP="004146B7">
      <w:pPr>
        <w:rPr>
          <w:shd w:val="clear" w:color="auto" w:fill="FFFFFF"/>
          <w:lang w:val="en-GB"/>
        </w:rPr>
        <w:sectPr w:rsidR="004146B7" w:rsidRPr="00AA396F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95"/>
        <w:gridCol w:w="3728"/>
      </w:tblGrid>
      <w:tr w:rsidR="004146B7" w:rsidRPr="00876525" w14:paraId="67D905CC" w14:textId="77777777" w:rsidTr="00B92713">
        <w:trPr>
          <w:trHeight w:val="1506"/>
        </w:trPr>
        <w:tc>
          <w:tcPr>
            <w:tcW w:w="4195" w:type="dxa"/>
          </w:tcPr>
          <w:p w14:paraId="65AD9DC8" w14:textId="77777777" w:rsidR="004146B7" w:rsidRPr="002A219A" w:rsidRDefault="004146B7" w:rsidP="00B92713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color w:val="000000" w:themeColor="text1"/>
                <w:sz w:val="20"/>
                <w:lang w:val="en-GB"/>
              </w:rPr>
              <w:lastRenderedPageBreak/>
              <w:t>Prepared by:</w:t>
            </w:r>
          </w:p>
          <w:p w14:paraId="508ADBA5" w14:textId="77777777" w:rsidR="004146B7" w:rsidRPr="004F6A01" w:rsidRDefault="004146B7" w:rsidP="00B92713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4F6A01">
              <w:rPr>
                <w:rFonts w:cs="Arial"/>
                <w:b/>
                <w:sz w:val="20"/>
                <w:lang w:val="en-GB"/>
              </w:rPr>
              <w:t>Statistical Office in Kraków</w:t>
            </w:r>
          </w:p>
          <w:p w14:paraId="7A19288C" w14:textId="77777777" w:rsidR="004146B7" w:rsidRPr="004F6A01" w:rsidRDefault="004146B7" w:rsidP="00B92713">
            <w:pPr>
              <w:spacing w:before="0" w:after="0" w:line="276" w:lineRule="auto"/>
              <w:ind w:left="-108"/>
              <w:rPr>
                <w:rFonts w:cs="Arial"/>
                <w:b/>
                <w:sz w:val="20"/>
                <w:lang w:val="en-GB"/>
              </w:rPr>
            </w:pPr>
            <w:r w:rsidRPr="004F6A01">
              <w:rPr>
                <w:rFonts w:cs="Arial"/>
                <w:b/>
                <w:sz w:val="20"/>
                <w:lang w:val="en-GB"/>
              </w:rPr>
              <w:t xml:space="preserve">Director Agnieszka Szlubowska </w:t>
            </w:r>
          </w:p>
          <w:p w14:paraId="32357A5F" w14:textId="77777777" w:rsidR="004146B7" w:rsidRPr="00A24587" w:rsidRDefault="004146B7" w:rsidP="00B92713">
            <w:pPr>
              <w:pStyle w:val="Nagwek3"/>
              <w:spacing w:before="0" w:line="240" w:lineRule="auto"/>
              <w:ind w:left="-108"/>
              <w:rPr>
                <w:rFonts w:ascii="Fira Sans" w:hAnsi="Fira Sans"/>
                <w:b/>
                <w:color w:val="000000" w:themeColor="text1"/>
                <w:sz w:val="20"/>
                <w:szCs w:val="20"/>
                <w:lang w:val="fi-FI"/>
              </w:rPr>
            </w:pPr>
            <w:r w:rsidRPr="004F6A01">
              <w:rPr>
                <w:rFonts w:ascii="Fira Sans" w:eastAsiaTheme="minorHAnsi" w:hAnsi="Fira Sans" w:cs="Arial"/>
                <w:color w:val="auto"/>
                <w:sz w:val="20"/>
                <w:szCs w:val="22"/>
                <w:lang w:val="en-GB"/>
              </w:rPr>
              <w:t>Office: tel. (+48 12) 420 40 50</w:t>
            </w:r>
          </w:p>
        </w:tc>
        <w:tc>
          <w:tcPr>
            <w:tcW w:w="3728" w:type="dxa"/>
          </w:tcPr>
          <w:p w14:paraId="48A45D90" w14:textId="3D843E7C" w:rsidR="004146B7" w:rsidRPr="002A219A" w:rsidRDefault="004146B7" w:rsidP="00B9271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2A219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876525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bookmarkStart w:id="0" w:name="_GoBack"/>
            <w:bookmarkEnd w:id="0"/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64A628FD" w14:textId="77777777" w:rsidR="004146B7" w:rsidRPr="002A219A" w:rsidRDefault="004146B7" w:rsidP="00B9271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2A219A">
              <w:rPr>
                <w:rFonts w:cs="Arial"/>
                <w:b/>
                <w:color w:val="000000" w:themeColor="text1"/>
                <w:sz w:val="20"/>
                <w:lang w:val="en-GB"/>
              </w:rPr>
              <w:t>of  Statistics Poland</w:t>
            </w:r>
          </w:p>
          <w:p w14:paraId="557F5D48" w14:textId="77777777" w:rsidR="004146B7" w:rsidRPr="002A219A" w:rsidRDefault="004146B7" w:rsidP="00B9271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2A219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2A219A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14:paraId="122A782A" w14:textId="77777777" w:rsidR="004146B7" w:rsidRPr="00BC44B2" w:rsidRDefault="004146B7" w:rsidP="00B9271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C44B2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14:paraId="0250910B" w14:textId="77777777" w:rsidR="004146B7" w:rsidRPr="008F3638" w:rsidRDefault="004146B7" w:rsidP="00B9271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0BC042CC" w14:textId="77777777" w:rsidR="004146B7" w:rsidRPr="002A219A" w:rsidRDefault="004146B7" w:rsidP="004146B7">
      <w:pPr>
        <w:rPr>
          <w:sz w:val="20"/>
          <w:lang w:val="en-GB"/>
        </w:rPr>
      </w:pPr>
    </w:p>
    <w:p w14:paraId="69CF54DD" w14:textId="77777777" w:rsidR="004146B7" w:rsidRPr="002A219A" w:rsidRDefault="004146B7" w:rsidP="004146B7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4146B7" w:rsidRPr="00876525" w14:paraId="00AD49C4" w14:textId="77777777" w:rsidTr="00B92713">
        <w:trPr>
          <w:trHeight w:val="610"/>
        </w:trPr>
        <w:tc>
          <w:tcPr>
            <w:tcW w:w="2721" w:type="pct"/>
            <w:vMerge w:val="restart"/>
          </w:tcPr>
          <w:p w14:paraId="51F78A6F" w14:textId="77777777" w:rsidR="004146B7" w:rsidRPr="002A219A" w:rsidRDefault="004146B7" w:rsidP="00B92713">
            <w:pPr>
              <w:rPr>
                <w:b/>
                <w:sz w:val="20"/>
                <w:lang w:val="en-GB"/>
              </w:rPr>
            </w:pPr>
            <w:r w:rsidRPr="002A219A">
              <w:rPr>
                <w:b/>
                <w:sz w:val="20"/>
                <w:lang w:val="en-GB"/>
              </w:rPr>
              <w:t>Press Office</w:t>
            </w:r>
          </w:p>
          <w:p w14:paraId="2086B099" w14:textId="77777777" w:rsidR="004146B7" w:rsidRPr="002A219A" w:rsidRDefault="004146B7" w:rsidP="00B92713">
            <w:pPr>
              <w:rPr>
                <w:color w:val="FF0000"/>
                <w:sz w:val="20"/>
                <w:lang w:val="en-GB"/>
              </w:rPr>
            </w:pPr>
            <w:r w:rsidRPr="00BC44B2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4C4532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Pr="002A219A">
              <w:rPr>
                <w:color w:val="000000" w:themeColor="text1"/>
                <w:sz w:val="20"/>
                <w:lang w:val="en-GB"/>
              </w:rPr>
              <w:t xml:space="preserve">608 34 91, 608 38 04 </w:t>
            </w:r>
          </w:p>
          <w:p w14:paraId="6A31A31D" w14:textId="77777777" w:rsidR="004146B7" w:rsidRPr="002A219A" w:rsidRDefault="004146B7" w:rsidP="00B92713">
            <w:pPr>
              <w:rPr>
                <w:sz w:val="18"/>
                <w:lang w:val="en-GB"/>
              </w:rPr>
            </w:pPr>
            <w:r w:rsidRPr="002A219A">
              <w:rPr>
                <w:b/>
                <w:sz w:val="20"/>
                <w:lang w:val="en-GB"/>
              </w:rPr>
              <w:t>e-mail:</w:t>
            </w:r>
            <w:r w:rsidRPr="002A219A">
              <w:rPr>
                <w:sz w:val="20"/>
                <w:lang w:val="en-GB"/>
              </w:rPr>
              <w:t xml:space="preserve"> </w:t>
            </w:r>
            <w:hyperlink r:id="rId17" w:history="1">
              <w:r w:rsidRPr="002A219A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0D4B7EF5" w14:textId="77777777" w:rsidR="004146B7" w:rsidRPr="002A219A" w:rsidRDefault="004146B7" w:rsidP="00B9271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2320" behindDoc="0" locked="0" layoutInCell="1" allowOverlap="1" wp14:anchorId="22B7A4BC" wp14:editId="7A3793C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2452344E" w14:textId="77777777" w:rsidR="004146B7" w:rsidRPr="002A219A" w:rsidRDefault="004146B7" w:rsidP="00B92713">
            <w:pPr>
              <w:rPr>
                <w:sz w:val="18"/>
                <w:lang w:val="en-GB"/>
              </w:rPr>
            </w:pPr>
            <w:r w:rsidRPr="002A219A">
              <w:rPr>
                <w:sz w:val="20"/>
                <w:lang w:val="en-GB"/>
              </w:rPr>
              <w:t>www.stat.gov.pl/en/</w:t>
            </w:r>
          </w:p>
        </w:tc>
      </w:tr>
      <w:tr w:rsidR="004146B7" w14:paraId="75BFBB40" w14:textId="77777777" w:rsidTr="00B92713">
        <w:trPr>
          <w:trHeight w:val="436"/>
        </w:trPr>
        <w:tc>
          <w:tcPr>
            <w:tcW w:w="2721" w:type="pct"/>
            <w:vMerge/>
          </w:tcPr>
          <w:p w14:paraId="12F384E0" w14:textId="77777777" w:rsidR="004146B7" w:rsidRPr="002A219A" w:rsidRDefault="004146B7" w:rsidP="00B92713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233D4059" w14:textId="77777777" w:rsidR="004146B7" w:rsidRPr="002A219A" w:rsidRDefault="004146B7" w:rsidP="00B9271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4368" behindDoc="0" locked="0" layoutInCell="1" allowOverlap="1" wp14:anchorId="412CAD61" wp14:editId="6A0440B8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FDA536F" w14:textId="77777777" w:rsidR="004146B7" w:rsidRDefault="004146B7" w:rsidP="00B92713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4146B7" w14:paraId="4CE5C550" w14:textId="77777777" w:rsidTr="00B92713">
        <w:trPr>
          <w:trHeight w:val="436"/>
        </w:trPr>
        <w:tc>
          <w:tcPr>
            <w:tcW w:w="2721" w:type="pct"/>
            <w:vMerge/>
          </w:tcPr>
          <w:p w14:paraId="577F7A76" w14:textId="77777777" w:rsidR="004146B7" w:rsidRDefault="004146B7" w:rsidP="00B9271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089F694" w14:textId="77777777" w:rsidR="004146B7" w:rsidRDefault="004146B7" w:rsidP="00B9271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33344" behindDoc="0" locked="0" layoutInCell="1" allowOverlap="1" wp14:anchorId="4033D4EB" wp14:editId="1F7C21C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7C57351" w14:textId="77777777" w:rsidR="004146B7" w:rsidRDefault="004146B7" w:rsidP="00B92713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25CF7491" w14:textId="18BE0046" w:rsidR="004146B7" w:rsidRDefault="004146B7" w:rsidP="004146B7">
      <w:pPr>
        <w:rPr>
          <w:sz w:val="18"/>
        </w:rPr>
      </w:pPr>
    </w:p>
    <w:p w14:paraId="19078F70" w14:textId="77777777" w:rsidR="004146B7" w:rsidRPr="00001C5B" w:rsidRDefault="004146B7" w:rsidP="004146B7">
      <w:pPr>
        <w:rPr>
          <w:sz w:val="18"/>
        </w:rPr>
      </w:pPr>
    </w:p>
    <w:p w14:paraId="232AF104" w14:textId="41229F4C" w:rsidR="005062EC" w:rsidRPr="00CB7415" w:rsidRDefault="004146B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6845EFE3" wp14:editId="5E10CA07">
                <wp:simplePos x="0" y="0"/>
                <wp:positionH relativeFrom="margin">
                  <wp:posOffset>0</wp:posOffset>
                </wp:positionH>
                <wp:positionV relativeFrom="paragraph">
                  <wp:posOffset>268605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93FC3" w14:textId="77777777" w:rsidR="004146B7" w:rsidRDefault="004146B7" w:rsidP="004146B7">
                            <w:pPr>
                              <w:rPr>
                                <w:b/>
                              </w:rPr>
                            </w:pPr>
                          </w:p>
                          <w:p w14:paraId="02EFE726" w14:textId="77777777" w:rsidR="004146B7" w:rsidRPr="002A219A" w:rsidRDefault="004146B7" w:rsidP="004146B7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2A219A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1B9879A3" w14:textId="101E5659" w:rsidR="00325D6A" w:rsidRPr="007D58E4" w:rsidRDefault="00A22781" w:rsidP="00325D6A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1" w:history="1">
                              <w:r w:rsidR="00325D6A" w:rsidRPr="007D58E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1st quarter of 2020</w:t>
                              </w:r>
                            </w:hyperlink>
                          </w:p>
                          <w:p w14:paraId="48833EF9" w14:textId="77777777" w:rsidR="004146B7" w:rsidRPr="007D58E4" w:rsidRDefault="00A22781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2" w:history="1">
                              <w:r w:rsidR="004146B7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Financial results of cultural institutions in period January-December 2019</w:t>
                              </w:r>
                            </w:hyperlink>
                          </w:p>
                          <w:p w14:paraId="6E13A9B4" w14:textId="77777777" w:rsidR="004146B7" w:rsidRPr="00285233" w:rsidRDefault="00A22781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lang w:val="en-GB"/>
                              </w:rPr>
                            </w:pPr>
                            <w:hyperlink r:id="rId23" w:history="1">
                              <w:r w:rsidR="004146B7" w:rsidRPr="0028523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Methodological report. Non-financial enterprises surveys 2019</w:t>
                              </w:r>
                            </w:hyperlink>
                          </w:p>
                          <w:p w14:paraId="036247AB" w14:textId="77777777" w:rsidR="004146B7" w:rsidRPr="002A219A" w:rsidRDefault="004146B7" w:rsidP="004146B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14:paraId="6C642689" w14:textId="77777777" w:rsidR="004146B7" w:rsidRPr="002A219A" w:rsidRDefault="004146B7" w:rsidP="004146B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2A219A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5927578B" w14:textId="77777777" w:rsidR="004146B7" w:rsidRPr="00285233" w:rsidRDefault="00A22781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4" w:history="1">
                              <w:r w:rsidR="004146B7"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Total revenues</w:t>
                              </w:r>
                            </w:hyperlink>
                          </w:p>
                          <w:p w14:paraId="55566069" w14:textId="77777777" w:rsidR="004146B7" w:rsidRPr="00AD3911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"https://stat.gov.pl/en/metainformations/glossary/terms-used-in-official-statistics/158,term.html"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Total costs</w:t>
                            </w:r>
                          </w:p>
                          <w:p w14:paraId="6DBD9214" w14:textId="77777777" w:rsidR="004146B7" w:rsidRPr="00AD3911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Gross financial result</w:t>
                            </w:r>
                          </w:p>
                          <w:p w14:paraId="1C9A05B9" w14:textId="77777777" w:rsidR="004146B7" w:rsidRPr="00AD3911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"https://stat.gov.pl/en/metainformations/glossary/terms-used-in-official-statistics/615,term.html"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Net financial result</w:t>
                            </w:r>
                          </w:p>
                          <w:p w14:paraId="5BDA58CE" w14:textId="77777777" w:rsidR="004146B7" w:rsidRPr="00AD3911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"https://stat.gov.pl/en/metainformations/glossary/terms-used-in-official-statistics/223,term.html"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Investment outlays</w:t>
                            </w:r>
                          </w:p>
                          <w:p w14:paraId="628DC56E" w14:textId="77777777" w:rsidR="004146B7" w:rsidRPr="007D58E4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  <w:hyperlink r:id="rId25" w:history="1">
                              <w:r w:rsidRPr="00AD3911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14:paraId="73DBEAB2" w14:textId="77777777" w:rsidR="004146B7" w:rsidRPr="00AD3911" w:rsidRDefault="004146B7" w:rsidP="004146B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instrText xml:space="preserve"> HYPERLINK "https://stat.gov.pl/en/metainformations/glossary/terms-used-in-official-statistics/128,term.html"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separate"/>
                            </w:r>
                            <w:r w:rsidRPr="00AD3911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Cultural institution</w:t>
                            </w:r>
                          </w:p>
                          <w:p w14:paraId="56C7916B" w14:textId="77777777" w:rsidR="004146B7" w:rsidRPr="002A219A" w:rsidRDefault="004146B7" w:rsidP="004146B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5EFE3" id="_x0000_s1030" type="#_x0000_t202" style="position:absolute;margin-left:0;margin-top:21.15pt;width:516.5pt;height:349.8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UW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" fillcolor="#f2f2f2 [3052]" strokecolor="white [3212]">
                <v:textbox>
                  <w:txbxContent>
                    <w:p w14:paraId="28593FC3" w14:textId="77777777" w:rsidR="004146B7" w:rsidRDefault="004146B7" w:rsidP="004146B7">
                      <w:pPr>
                        <w:rPr>
                          <w:b/>
                        </w:rPr>
                      </w:pPr>
                    </w:p>
                    <w:p w14:paraId="02EFE726" w14:textId="77777777" w:rsidR="004146B7" w:rsidRPr="002A219A" w:rsidRDefault="004146B7" w:rsidP="004146B7">
                      <w:pPr>
                        <w:rPr>
                          <w:b/>
                          <w:lang w:val="en-GB"/>
                        </w:rPr>
                      </w:pPr>
                      <w:r w:rsidRPr="002A219A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14:paraId="1B9879A3" w14:textId="101E5659" w:rsidR="00325D6A" w:rsidRPr="007D58E4" w:rsidRDefault="00BC021E" w:rsidP="00325D6A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6" w:history="1">
                        <w:r w:rsidR="00325D6A" w:rsidRPr="007D58E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1st quarter of 2020</w:t>
                        </w:r>
                      </w:hyperlink>
                    </w:p>
                    <w:p w14:paraId="48833EF9" w14:textId="77777777" w:rsidR="004146B7" w:rsidRPr="007D58E4" w:rsidRDefault="00BC021E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7" w:history="1">
                        <w:r w:rsidR="004146B7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Financial results of cultural institutions in period January-December 2019</w:t>
                        </w:r>
                      </w:hyperlink>
                    </w:p>
                    <w:p w14:paraId="6E13A9B4" w14:textId="77777777" w:rsidR="004146B7" w:rsidRPr="00285233" w:rsidRDefault="00BC021E" w:rsidP="004146B7">
                      <w:pPr>
                        <w:rPr>
                          <w:rStyle w:val="Hipercze"/>
                          <w:rFonts w:cs="Arial"/>
                          <w:color w:val="001D77"/>
                          <w:lang w:val="en-GB"/>
                        </w:rPr>
                      </w:pPr>
                      <w:hyperlink r:id="rId28" w:history="1">
                        <w:r w:rsidR="004146B7" w:rsidRPr="0028523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Methodological report. Non-financial enterprises surveys 2019</w:t>
                        </w:r>
                      </w:hyperlink>
                    </w:p>
                    <w:p w14:paraId="036247AB" w14:textId="77777777" w:rsidR="004146B7" w:rsidRPr="002A219A" w:rsidRDefault="004146B7" w:rsidP="004146B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14:paraId="6C642689" w14:textId="77777777" w:rsidR="004146B7" w:rsidRPr="002A219A" w:rsidRDefault="004146B7" w:rsidP="004146B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2A219A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14:paraId="5927578B" w14:textId="77777777" w:rsidR="004146B7" w:rsidRPr="00285233" w:rsidRDefault="00BC021E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29" w:history="1">
                        <w:r w:rsidR="004146B7"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Total revenues</w:t>
                        </w:r>
                      </w:hyperlink>
                    </w:p>
                    <w:p w14:paraId="55566069" w14:textId="77777777" w:rsidR="004146B7" w:rsidRPr="00AD3911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"https://stat.gov.pl/en/metainformations/glossary/terms-used-in-official-statistics/158,term.html"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Total costs</w:t>
                      </w:r>
                    </w:p>
                    <w:p w14:paraId="6DBD9214" w14:textId="77777777" w:rsidR="004146B7" w:rsidRPr="00AD3911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Gross financial result</w:t>
                      </w:r>
                    </w:p>
                    <w:p w14:paraId="1C9A05B9" w14:textId="77777777" w:rsidR="004146B7" w:rsidRPr="00AD3911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"https://stat.gov.pl/en/metainformations/glossary/terms-used-in-official-statistics/615,term.html"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Net financial result</w:t>
                      </w:r>
                    </w:p>
                    <w:p w14:paraId="5BDA58CE" w14:textId="77777777" w:rsidR="004146B7" w:rsidRPr="00AD3911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"https://stat.gov.pl/en/metainformations/glossary/terms-used-in-official-statistics/223,term.html"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Investment outlays</w:t>
                      </w:r>
                    </w:p>
                    <w:p w14:paraId="628DC56E" w14:textId="77777777" w:rsidR="004146B7" w:rsidRPr="007D58E4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  <w:hyperlink r:id="rId30" w:history="1">
                        <w:r w:rsidRPr="00AD3911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14:paraId="73DBEAB2" w14:textId="77777777" w:rsidR="004146B7" w:rsidRPr="00AD3911" w:rsidRDefault="004146B7" w:rsidP="004146B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instrText xml:space="preserve"> HYPERLINK "https://stat.gov.pl/en/metainformations/glossary/terms-used-in-official-statistics/128,term.html"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separate"/>
                      </w:r>
                      <w:r w:rsidRPr="00AD3911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Cultural institution</w:t>
                      </w:r>
                    </w:p>
                    <w:p w14:paraId="56C7916B" w14:textId="77777777" w:rsidR="004146B7" w:rsidRPr="002A219A" w:rsidRDefault="004146B7" w:rsidP="004146B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16CDF53" w14:textId="77777777" w:rsidR="005062EC" w:rsidRPr="00CB7415" w:rsidRDefault="005062EC" w:rsidP="005062EC">
      <w:pPr>
        <w:rPr>
          <w:sz w:val="18"/>
          <w:lang w:val="en-US"/>
        </w:rPr>
      </w:pPr>
    </w:p>
    <w:p w14:paraId="08C047D3" w14:textId="77777777" w:rsidR="00D261A2" w:rsidRPr="00CB7415" w:rsidRDefault="00D261A2" w:rsidP="005062EC">
      <w:pPr>
        <w:rPr>
          <w:sz w:val="18"/>
          <w:lang w:val="en-US"/>
        </w:rPr>
      </w:pPr>
    </w:p>
    <w:sectPr w:rsidR="00D261A2" w:rsidRPr="00CB7415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2FCF2F0" w16cid:durableId="23012073"/>
  <w16cid:commentId w16cid:paraId="547E5F09" w16cid:durableId="230122B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C1877" w14:textId="77777777" w:rsidR="00A22781" w:rsidRDefault="00A22781" w:rsidP="000662E2">
      <w:pPr>
        <w:spacing w:after="0" w:line="240" w:lineRule="auto"/>
      </w:pPr>
      <w:r>
        <w:separator/>
      </w:r>
    </w:p>
  </w:endnote>
  <w:endnote w:type="continuationSeparator" w:id="0">
    <w:p w14:paraId="6AFDFBD0" w14:textId="77777777" w:rsidR="00A22781" w:rsidRDefault="00A2278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0875485"/>
      <w:docPartObj>
        <w:docPartGallery w:val="Page Numbers (Bottom of Page)"/>
        <w:docPartUnique/>
      </w:docPartObj>
    </w:sdtPr>
    <w:sdtEndPr/>
    <w:sdtContent>
      <w:p w14:paraId="5B757298" w14:textId="77777777" w:rsidR="004146B7" w:rsidRDefault="004146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2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7688035"/>
      <w:docPartObj>
        <w:docPartGallery w:val="Page Numbers (Bottom of Page)"/>
        <w:docPartUnique/>
      </w:docPartObj>
    </w:sdtPr>
    <w:sdtEndPr/>
    <w:sdtContent>
      <w:p w14:paraId="14C66EF4" w14:textId="77777777" w:rsidR="004146B7" w:rsidRDefault="004146B7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4027B0A0" w14:textId="77777777" w:rsidR="00C456E2" w:rsidRDefault="00C456E2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52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45C01" w14:textId="77777777" w:rsidR="00A22781" w:rsidRDefault="00A22781" w:rsidP="000662E2">
      <w:pPr>
        <w:spacing w:after="0" w:line="240" w:lineRule="auto"/>
      </w:pPr>
      <w:r>
        <w:separator/>
      </w:r>
    </w:p>
  </w:footnote>
  <w:footnote w:type="continuationSeparator" w:id="0">
    <w:p w14:paraId="5072C2C7" w14:textId="77777777" w:rsidR="00A22781" w:rsidRDefault="00A22781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D4869" w14:textId="77777777" w:rsidR="004146B7" w:rsidRDefault="004146B7" w:rsidP="00C15CC1">
    <w:pPr>
      <w:pStyle w:val="Nagwek"/>
      <w:tabs>
        <w:tab w:val="clear" w:pos="4536"/>
        <w:tab w:val="clear" w:pos="9072"/>
        <w:tab w:val="left" w:pos="2863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BE67006" wp14:editId="42644FC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9500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8ADF6" id="Prostokąt 2" o:spid="_x0000_s1026" style="position:absolute;margin-left:410.6pt;margin-top:-14.05pt;width:147.6pt;height:178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" fillcolor="#f2f2f2" stroked="f" strokeweight="1pt">
              <v:path arrowok="t"/>
            </v:rect>
          </w:pict>
        </mc:Fallback>
      </mc:AlternateContent>
    </w:r>
    <w:r>
      <w:tab/>
    </w:r>
  </w:p>
  <w:p w14:paraId="058FE7CC" w14:textId="77777777" w:rsidR="004146B7" w:rsidRDefault="004146B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08D89" w14:textId="6E19FA64" w:rsidR="004146B7" w:rsidRDefault="0020304D" w:rsidP="00570567">
    <w:pPr>
      <w:pStyle w:val="Nagwek"/>
      <w:tabs>
        <w:tab w:val="clear" w:pos="4536"/>
        <w:tab w:val="clear" w:pos="9072"/>
        <w:tab w:val="left" w:pos="5774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F979C83" wp14:editId="5634EEB9">
              <wp:simplePos x="0" y="0"/>
              <wp:positionH relativeFrom="column">
                <wp:posOffset>5273040</wp:posOffset>
              </wp:positionH>
              <wp:positionV relativeFrom="paragraph">
                <wp:posOffset>1044525</wp:posOffset>
              </wp:positionV>
              <wp:extent cx="1432560" cy="336550"/>
              <wp:effectExtent l="0" t="0" r="0" b="0"/>
              <wp:wrapNone/>
              <wp:docPr id="1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39181" w14:textId="39F9C11F" w:rsidR="004146B7" w:rsidRPr="00C97596" w:rsidRDefault="004146B7" w:rsidP="00570567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7466A2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7466A2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979C8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5.2pt;margin-top:82.2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1Ky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r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" filled="f" stroked="f">
              <v:textbox>
                <w:txbxContent>
                  <w:p w14:paraId="78A39181" w14:textId="39F9C11F" w:rsidR="004146B7" w:rsidRPr="00C97596" w:rsidRDefault="004146B7" w:rsidP="00570567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7466A2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7466A2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25A19D3D" wp14:editId="441A0533">
          <wp:simplePos x="0" y="0"/>
          <wp:positionH relativeFrom="column">
            <wp:posOffset>0</wp:posOffset>
          </wp:positionH>
          <wp:positionV relativeFrom="paragraph">
            <wp:posOffset>219075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6B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56391A" wp14:editId="7C489D9B">
              <wp:simplePos x="0" y="0"/>
              <wp:positionH relativeFrom="page">
                <wp:align>right</wp:align>
              </wp:positionH>
              <wp:positionV relativeFrom="paragraph">
                <wp:posOffset>210820</wp:posOffset>
              </wp:positionV>
              <wp:extent cx="1871980" cy="22905085"/>
              <wp:effectExtent l="0" t="0" r="0" b="0"/>
              <wp:wrapNone/>
              <wp:docPr id="5" name="Prostoką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5A083D" id="Prostokąt 5" o:spid="_x0000_s1026" style="position:absolute;margin-left:96.2pt;margin-top:16.6pt;width:147.4pt;height:1803.5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" fillcolor="#f2f2f2" stroked="f" strokeweight="1pt">
              <v:path arrowok="t"/>
              <w10:wrap anchorx="page"/>
            </v:rect>
          </w:pict>
        </mc:Fallback>
      </mc:AlternateContent>
    </w:r>
    <w:r w:rsidR="004146B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3CF3DD" wp14:editId="3464465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0"/>
              <wp:wrapNone/>
              <wp:docPr id="13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611EE10" w14:textId="0CDD2FF1" w:rsidR="004146B7" w:rsidRPr="003C6C8D" w:rsidRDefault="0020304D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20304D">
                            <w:rPr>
                              <w:rFonts w:ascii="Fira Sans SemiBold" w:hAnsi="Fira Sans SemiBold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3CF3DD" id="Schemat blokowy: opóźnienie 6" o:spid="_x0000_s1032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3611EE10" w14:textId="0CDD2FF1" w:rsidR="004146B7" w:rsidRPr="003C6C8D" w:rsidRDefault="0020304D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20304D">
                      <w:rPr>
                        <w:rFonts w:ascii="Fira Sans SemiBold" w:hAnsi="Fira Sans SemiBold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4146B7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408A5" w14:textId="77777777" w:rsidR="00C456E2" w:rsidRDefault="00C456E2">
    <w:pPr>
      <w:pStyle w:val="Nagwek"/>
    </w:pPr>
  </w:p>
  <w:p w14:paraId="0D5C61EF" w14:textId="77777777" w:rsidR="00C456E2" w:rsidRDefault="00C456E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4.8pt;visibility:visible;mso-wrap-style:square" o:bullet="t">
        <v:imagedata r:id="rId1" o:title=""/>
      </v:shape>
    </w:pict>
  </w:numPicBullet>
  <w:numPicBullet w:numPicBulletId="1">
    <w:pict>
      <v:shape id="_x0000_i1029" type="#_x0000_t75" style="width:124.2pt;height:124.8pt;visibility:visible;mso-wrap-style:square" o:bullet="t">
        <v:imagedata r:id="rId2" o:title=""/>
      </v:shape>
    </w:pict>
  </w:numPicBullet>
  <w:abstractNum w:abstractNumId="0" w15:restartNumberingAfterBreak="0">
    <w:nsid w:val="0DC45844"/>
    <w:multiLevelType w:val="hybridMultilevel"/>
    <w:tmpl w:val="E890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cumentProtection w:edit="trackedChanges" w:enforcement="0"/>
  <w:defaultTabStop w:val="227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A27"/>
    <w:rsid w:val="00001C5B"/>
    <w:rsid w:val="00002B2C"/>
    <w:rsid w:val="00003437"/>
    <w:rsid w:val="0000523F"/>
    <w:rsid w:val="00006F4A"/>
    <w:rsid w:val="0000709F"/>
    <w:rsid w:val="00007884"/>
    <w:rsid w:val="0000795E"/>
    <w:rsid w:val="000108B8"/>
    <w:rsid w:val="000152F5"/>
    <w:rsid w:val="00017CE3"/>
    <w:rsid w:val="0002255D"/>
    <w:rsid w:val="000230F5"/>
    <w:rsid w:val="0003231C"/>
    <w:rsid w:val="0004582E"/>
    <w:rsid w:val="00046618"/>
    <w:rsid w:val="000470AA"/>
    <w:rsid w:val="00052A4A"/>
    <w:rsid w:val="0005526D"/>
    <w:rsid w:val="000557DC"/>
    <w:rsid w:val="00055DF4"/>
    <w:rsid w:val="00057CA1"/>
    <w:rsid w:val="0006280B"/>
    <w:rsid w:val="00062C8D"/>
    <w:rsid w:val="00064B4C"/>
    <w:rsid w:val="00064E19"/>
    <w:rsid w:val="000662E2"/>
    <w:rsid w:val="00066883"/>
    <w:rsid w:val="00067097"/>
    <w:rsid w:val="0007075C"/>
    <w:rsid w:val="00074DD8"/>
    <w:rsid w:val="000806F7"/>
    <w:rsid w:val="00080CBE"/>
    <w:rsid w:val="00081F20"/>
    <w:rsid w:val="00083F68"/>
    <w:rsid w:val="00085D68"/>
    <w:rsid w:val="00086130"/>
    <w:rsid w:val="0009705E"/>
    <w:rsid w:val="00097840"/>
    <w:rsid w:val="000A002C"/>
    <w:rsid w:val="000A0D94"/>
    <w:rsid w:val="000A100C"/>
    <w:rsid w:val="000A167A"/>
    <w:rsid w:val="000A2D6F"/>
    <w:rsid w:val="000A5C93"/>
    <w:rsid w:val="000A78FF"/>
    <w:rsid w:val="000B0727"/>
    <w:rsid w:val="000B074D"/>
    <w:rsid w:val="000B154D"/>
    <w:rsid w:val="000B7A89"/>
    <w:rsid w:val="000C08EF"/>
    <w:rsid w:val="000C135D"/>
    <w:rsid w:val="000C3EE7"/>
    <w:rsid w:val="000C4B04"/>
    <w:rsid w:val="000C614D"/>
    <w:rsid w:val="000D0468"/>
    <w:rsid w:val="000D0DDC"/>
    <w:rsid w:val="000D1D43"/>
    <w:rsid w:val="000D225C"/>
    <w:rsid w:val="000D2A5C"/>
    <w:rsid w:val="000D44E6"/>
    <w:rsid w:val="000D4CC9"/>
    <w:rsid w:val="000E0918"/>
    <w:rsid w:val="000E1986"/>
    <w:rsid w:val="000E4CAB"/>
    <w:rsid w:val="000E56AE"/>
    <w:rsid w:val="000F14AB"/>
    <w:rsid w:val="000F2253"/>
    <w:rsid w:val="000F2B9A"/>
    <w:rsid w:val="000F4D90"/>
    <w:rsid w:val="001009D9"/>
    <w:rsid w:val="001011C3"/>
    <w:rsid w:val="0010225F"/>
    <w:rsid w:val="00103015"/>
    <w:rsid w:val="00110D87"/>
    <w:rsid w:val="0011233B"/>
    <w:rsid w:val="00114DB9"/>
    <w:rsid w:val="00115A83"/>
    <w:rsid w:val="00116087"/>
    <w:rsid w:val="00117A9C"/>
    <w:rsid w:val="00117E3D"/>
    <w:rsid w:val="001207C1"/>
    <w:rsid w:val="00126D58"/>
    <w:rsid w:val="00127A16"/>
    <w:rsid w:val="00130184"/>
    <w:rsid w:val="00130296"/>
    <w:rsid w:val="0013202C"/>
    <w:rsid w:val="00133EB8"/>
    <w:rsid w:val="001340A0"/>
    <w:rsid w:val="00136625"/>
    <w:rsid w:val="001379BF"/>
    <w:rsid w:val="00140988"/>
    <w:rsid w:val="00141231"/>
    <w:rsid w:val="001412B5"/>
    <w:rsid w:val="001423B6"/>
    <w:rsid w:val="001448A7"/>
    <w:rsid w:val="00144EB9"/>
    <w:rsid w:val="00146621"/>
    <w:rsid w:val="00146EE5"/>
    <w:rsid w:val="00146FE3"/>
    <w:rsid w:val="00150B67"/>
    <w:rsid w:val="00151CB4"/>
    <w:rsid w:val="001523CC"/>
    <w:rsid w:val="0015277E"/>
    <w:rsid w:val="0015538E"/>
    <w:rsid w:val="00155661"/>
    <w:rsid w:val="00156A8F"/>
    <w:rsid w:val="00156E2B"/>
    <w:rsid w:val="00162325"/>
    <w:rsid w:val="00162777"/>
    <w:rsid w:val="00164A4F"/>
    <w:rsid w:val="00165D3D"/>
    <w:rsid w:val="001667EA"/>
    <w:rsid w:val="00170259"/>
    <w:rsid w:val="00172325"/>
    <w:rsid w:val="00173716"/>
    <w:rsid w:val="00176B33"/>
    <w:rsid w:val="00183F79"/>
    <w:rsid w:val="00184464"/>
    <w:rsid w:val="00184F60"/>
    <w:rsid w:val="001936E0"/>
    <w:rsid w:val="001951DA"/>
    <w:rsid w:val="001957B7"/>
    <w:rsid w:val="00197D17"/>
    <w:rsid w:val="001A7EA5"/>
    <w:rsid w:val="001A7EEF"/>
    <w:rsid w:val="001B3BCF"/>
    <w:rsid w:val="001B52C2"/>
    <w:rsid w:val="001C3269"/>
    <w:rsid w:val="001C4316"/>
    <w:rsid w:val="001C4CCE"/>
    <w:rsid w:val="001D0AF1"/>
    <w:rsid w:val="001D0CF6"/>
    <w:rsid w:val="001D1DB4"/>
    <w:rsid w:val="001E07FC"/>
    <w:rsid w:val="001E2C07"/>
    <w:rsid w:val="001F2423"/>
    <w:rsid w:val="001F2759"/>
    <w:rsid w:val="001F738E"/>
    <w:rsid w:val="001F74D5"/>
    <w:rsid w:val="0020057C"/>
    <w:rsid w:val="00202EE2"/>
    <w:rsid w:val="0020304D"/>
    <w:rsid w:val="00205A4F"/>
    <w:rsid w:val="002072A9"/>
    <w:rsid w:val="002105A6"/>
    <w:rsid w:val="00210FBE"/>
    <w:rsid w:val="0021338D"/>
    <w:rsid w:val="00217051"/>
    <w:rsid w:val="00220222"/>
    <w:rsid w:val="00220B71"/>
    <w:rsid w:val="00230AA4"/>
    <w:rsid w:val="00232C81"/>
    <w:rsid w:val="0023420A"/>
    <w:rsid w:val="00242924"/>
    <w:rsid w:val="00250A4E"/>
    <w:rsid w:val="00251C93"/>
    <w:rsid w:val="002528E9"/>
    <w:rsid w:val="002529A6"/>
    <w:rsid w:val="0025568F"/>
    <w:rsid w:val="002556C4"/>
    <w:rsid w:val="002574F9"/>
    <w:rsid w:val="00261BDF"/>
    <w:rsid w:val="00262847"/>
    <w:rsid w:val="00262B61"/>
    <w:rsid w:val="00262C1B"/>
    <w:rsid w:val="00265494"/>
    <w:rsid w:val="002654F8"/>
    <w:rsid w:val="002670CF"/>
    <w:rsid w:val="0026746A"/>
    <w:rsid w:val="00276623"/>
    <w:rsid w:val="00276811"/>
    <w:rsid w:val="002775E3"/>
    <w:rsid w:val="0027785C"/>
    <w:rsid w:val="002825B8"/>
    <w:rsid w:val="00282699"/>
    <w:rsid w:val="002874B4"/>
    <w:rsid w:val="00292118"/>
    <w:rsid w:val="002926DF"/>
    <w:rsid w:val="00296697"/>
    <w:rsid w:val="002A02A9"/>
    <w:rsid w:val="002A5085"/>
    <w:rsid w:val="002B0472"/>
    <w:rsid w:val="002B5372"/>
    <w:rsid w:val="002B6B12"/>
    <w:rsid w:val="002C65E6"/>
    <w:rsid w:val="002D2A4E"/>
    <w:rsid w:val="002D4DBF"/>
    <w:rsid w:val="002E14D0"/>
    <w:rsid w:val="002E1AAD"/>
    <w:rsid w:val="002E21A2"/>
    <w:rsid w:val="002E2E55"/>
    <w:rsid w:val="002E6140"/>
    <w:rsid w:val="002E6985"/>
    <w:rsid w:val="002E71B6"/>
    <w:rsid w:val="002E7631"/>
    <w:rsid w:val="002F09D8"/>
    <w:rsid w:val="002F7233"/>
    <w:rsid w:val="002F77C8"/>
    <w:rsid w:val="00304243"/>
    <w:rsid w:val="00304F22"/>
    <w:rsid w:val="00306157"/>
    <w:rsid w:val="00306A6B"/>
    <w:rsid w:val="00306C7C"/>
    <w:rsid w:val="00307DF3"/>
    <w:rsid w:val="00311FC7"/>
    <w:rsid w:val="00313823"/>
    <w:rsid w:val="0032058E"/>
    <w:rsid w:val="00321849"/>
    <w:rsid w:val="00322EDD"/>
    <w:rsid w:val="00325D6A"/>
    <w:rsid w:val="00325E31"/>
    <w:rsid w:val="00326F61"/>
    <w:rsid w:val="00330D42"/>
    <w:rsid w:val="00332320"/>
    <w:rsid w:val="00332E3D"/>
    <w:rsid w:val="0033321A"/>
    <w:rsid w:val="00334305"/>
    <w:rsid w:val="003350A6"/>
    <w:rsid w:val="0033538B"/>
    <w:rsid w:val="00335A91"/>
    <w:rsid w:val="003366D9"/>
    <w:rsid w:val="003379F0"/>
    <w:rsid w:val="0034426E"/>
    <w:rsid w:val="00345E4E"/>
    <w:rsid w:val="00347D72"/>
    <w:rsid w:val="00352A7C"/>
    <w:rsid w:val="00353B41"/>
    <w:rsid w:val="003559C2"/>
    <w:rsid w:val="0035748A"/>
    <w:rsid w:val="00357611"/>
    <w:rsid w:val="00357C27"/>
    <w:rsid w:val="0036475C"/>
    <w:rsid w:val="00365098"/>
    <w:rsid w:val="00367237"/>
    <w:rsid w:val="00367C54"/>
    <w:rsid w:val="0037077F"/>
    <w:rsid w:val="00370DF2"/>
    <w:rsid w:val="00371263"/>
    <w:rsid w:val="00372411"/>
    <w:rsid w:val="00373882"/>
    <w:rsid w:val="00375669"/>
    <w:rsid w:val="0037580E"/>
    <w:rsid w:val="00376354"/>
    <w:rsid w:val="0037756C"/>
    <w:rsid w:val="003804A4"/>
    <w:rsid w:val="003843DB"/>
    <w:rsid w:val="003857ED"/>
    <w:rsid w:val="00387BAB"/>
    <w:rsid w:val="00393761"/>
    <w:rsid w:val="00393B04"/>
    <w:rsid w:val="003955A0"/>
    <w:rsid w:val="00395B64"/>
    <w:rsid w:val="00396B4A"/>
    <w:rsid w:val="00397D18"/>
    <w:rsid w:val="003A1A94"/>
    <w:rsid w:val="003A1B36"/>
    <w:rsid w:val="003A3FF8"/>
    <w:rsid w:val="003A5279"/>
    <w:rsid w:val="003B0E2D"/>
    <w:rsid w:val="003B1454"/>
    <w:rsid w:val="003B18B6"/>
    <w:rsid w:val="003B1ABF"/>
    <w:rsid w:val="003B39DA"/>
    <w:rsid w:val="003B4383"/>
    <w:rsid w:val="003B6798"/>
    <w:rsid w:val="003C0A17"/>
    <w:rsid w:val="003C10D7"/>
    <w:rsid w:val="003C423E"/>
    <w:rsid w:val="003C555C"/>
    <w:rsid w:val="003C59E0"/>
    <w:rsid w:val="003C6C19"/>
    <w:rsid w:val="003C6C8D"/>
    <w:rsid w:val="003D27E2"/>
    <w:rsid w:val="003D4F95"/>
    <w:rsid w:val="003D5F42"/>
    <w:rsid w:val="003D60A9"/>
    <w:rsid w:val="003D7ADA"/>
    <w:rsid w:val="003E1F9D"/>
    <w:rsid w:val="003E4908"/>
    <w:rsid w:val="003E4B29"/>
    <w:rsid w:val="003E5D77"/>
    <w:rsid w:val="003E7AA7"/>
    <w:rsid w:val="003F36E8"/>
    <w:rsid w:val="003F4C97"/>
    <w:rsid w:val="003F63E3"/>
    <w:rsid w:val="003F7FE6"/>
    <w:rsid w:val="00400193"/>
    <w:rsid w:val="00401772"/>
    <w:rsid w:val="0040331E"/>
    <w:rsid w:val="00404E40"/>
    <w:rsid w:val="00406E3D"/>
    <w:rsid w:val="00411E1C"/>
    <w:rsid w:val="004146B7"/>
    <w:rsid w:val="004212E7"/>
    <w:rsid w:val="0042446D"/>
    <w:rsid w:val="004267E9"/>
    <w:rsid w:val="00427805"/>
    <w:rsid w:val="00427BF8"/>
    <w:rsid w:val="004317AC"/>
    <w:rsid w:val="00431C02"/>
    <w:rsid w:val="00431CB1"/>
    <w:rsid w:val="0043242B"/>
    <w:rsid w:val="00432434"/>
    <w:rsid w:val="0043294A"/>
    <w:rsid w:val="00433AA5"/>
    <w:rsid w:val="00437395"/>
    <w:rsid w:val="00437A4E"/>
    <w:rsid w:val="00441F62"/>
    <w:rsid w:val="00443EE3"/>
    <w:rsid w:val="0044443C"/>
    <w:rsid w:val="00445047"/>
    <w:rsid w:val="00447F29"/>
    <w:rsid w:val="004531B9"/>
    <w:rsid w:val="00454878"/>
    <w:rsid w:val="00457562"/>
    <w:rsid w:val="00457F8C"/>
    <w:rsid w:val="00460D60"/>
    <w:rsid w:val="00460EA6"/>
    <w:rsid w:val="0046193B"/>
    <w:rsid w:val="00462CA3"/>
    <w:rsid w:val="00463E39"/>
    <w:rsid w:val="00463FE1"/>
    <w:rsid w:val="004657FC"/>
    <w:rsid w:val="00467CB1"/>
    <w:rsid w:val="004733F6"/>
    <w:rsid w:val="00474E69"/>
    <w:rsid w:val="00477868"/>
    <w:rsid w:val="00480C83"/>
    <w:rsid w:val="00484E31"/>
    <w:rsid w:val="00485AF1"/>
    <w:rsid w:val="0048770D"/>
    <w:rsid w:val="0048782C"/>
    <w:rsid w:val="00495392"/>
    <w:rsid w:val="0049621B"/>
    <w:rsid w:val="00497489"/>
    <w:rsid w:val="004A0292"/>
    <w:rsid w:val="004A0C3E"/>
    <w:rsid w:val="004A633C"/>
    <w:rsid w:val="004A7A33"/>
    <w:rsid w:val="004B4EE4"/>
    <w:rsid w:val="004B50C0"/>
    <w:rsid w:val="004B6185"/>
    <w:rsid w:val="004C0FAF"/>
    <w:rsid w:val="004C1895"/>
    <w:rsid w:val="004C26AF"/>
    <w:rsid w:val="004C6D40"/>
    <w:rsid w:val="004D5124"/>
    <w:rsid w:val="004D76A5"/>
    <w:rsid w:val="004E2275"/>
    <w:rsid w:val="004E2667"/>
    <w:rsid w:val="004E4138"/>
    <w:rsid w:val="004F0C3C"/>
    <w:rsid w:val="004F5D50"/>
    <w:rsid w:val="004F6324"/>
    <w:rsid w:val="004F63FC"/>
    <w:rsid w:val="00500170"/>
    <w:rsid w:val="00502559"/>
    <w:rsid w:val="00505A92"/>
    <w:rsid w:val="005062EC"/>
    <w:rsid w:val="005063C0"/>
    <w:rsid w:val="00506676"/>
    <w:rsid w:val="00512F81"/>
    <w:rsid w:val="005156C0"/>
    <w:rsid w:val="00517F4F"/>
    <w:rsid w:val="005203F1"/>
    <w:rsid w:val="00520481"/>
    <w:rsid w:val="00521BC3"/>
    <w:rsid w:val="00531A2C"/>
    <w:rsid w:val="005330B5"/>
    <w:rsid w:val="00533632"/>
    <w:rsid w:val="005364D1"/>
    <w:rsid w:val="00540775"/>
    <w:rsid w:val="00540A88"/>
    <w:rsid w:val="005412EE"/>
    <w:rsid w:val="0054178E"/>
    <w:rsid w:val="00541E6E"/>
    <w:rsid w:val="0054251F"/>
    <w:rsid w:val="00542587"/>
    <w:rsid w:val="00544646"/>
    <w:rsid w:val="005520D8"/>
    <w:rsid w:val="00552864"/>
    <w:rsid w:val="005545D9"/>
    <w:rsid w:val="005569E2"/>
    <w:rsid w:val="00556CF1"/>
    <w:rsid w:val="005574B3"/>
    <w:rsid w:val="0056366B"/>
    <w:rsid w:val="005658C9"/>
    <w:rsid w:val="0056668F"/>
    <w:rsid w:val="0057001C"/>
    <w:rsid w:val="00570567"/>
    <w:rsid w:val="005762A7"/>
    <w:rsid w:val="00581356"/>
    <w:rsid w:val="00581CF2"/>
    <w:rsid w:val="00582D5D"/>
    <w:rsid w:val="00586678"/>
    <w:rsid w:val="00590D1A"/>
    <w:rsid w:val="0059168B"/>
    <w:rsid w:val="005916D7"/>
    <w:rsid w:val="00593269"/>
    <w:rsid w:val="00594A6E"/>
    <w:rsid w:val="00594EAA"/>
    <w:rsid w:val="0059756C"/>
    <w:rsid w:val="005A2FBF"/>
    <w:rsid w:val="005A3013"/>
    <w:rsid w:val="005A4D06"/>
    <w:rsid w:val="005A698C"/>
    <w:rsid w:val="005A6F2C"/>
    <w:rsid w:val="005A709E"/>
    <w:rsid w:val="005B2602"/>
    <w:rsid w:val="005B4BD3"/>
    <w:rsid w:val="005C00F7"/>
    <w:rsid w:val="005D1AFA"/>
    <w:rsid w:val="005D3F92"/>
    <w:rsid w:val="005D66E7"/>
    <w:rsid w:val="005E0799"/>
    <w:rsid w:val="005E0B40"/>
    <w:rsid w:val="005E4F0B"/>
    <w:rsid w:val="005E61FF"/>
    <w:rsid w:val="005E7B9C"/>
    <w:rsid w:val="005F0FA3"/>
    <w:rsid w:val="005F2009"/>
    <w:rsid w:val="005F256F"/>
    <w:rsid w:val="005F4530"/>
    <w:rsid w:val="005F458E"/>
    <w:rsid w:val="005F5A80"/>
    <w:rsid w:val="00601806"/>
    <w:rsid w:val="00602C16"/>
    <w:rsid w:val="00603EB6"/>
    <w:rsid w:val="006044FF"/>
    <w:rsid w:val="00607CC5"/>
    <w:rsid w:val="00615F4E"/>
    <w:rsid w:val="00617B28"/>
    <w:rsid w:val="00620426"/>
    <w:rsid w:val="00622807"/>
    <w:rsid w:val="00622C73"/>
    <w:rsid w:val="006272B8"/>
    <w:rsid w:val="0063082F"/>
    <w:rsid w:val="00633014"/>
    <w:rsid w:val="0063437B"/>
    <w:rsid w:val="0063479C"/>
    <w:rsid w:val="006348AE"/>
    <w:rsid w:val="0063608D"/>
    <w:rsid w:val="0064287A"/>
    <w:rsid w:val="00643AAD"/>
    <w:rsid w:val="006441D9"/>
    <w:rsid w:val="00657919"/>
    <w:rsid w:val="00660861"/>
    <w:rsid w:val="00662B27"/>
    <w:rsid w:val="006673CA"/>
    <w:rsid w:val="0067098E"/>
    <w:rsid w:val="00673C26"/>
    <w:rsid w:val="00673FF0"/>
    <w:rsid w:val="006812AF"/>
    <w:rsid w:val="006812BE"/>
    <w:rsid w:val="00682890"/>
    <w:rsid w:val="0068327D"/>
    <w:rsid w:val="00683F05"/>
    <w:rsid w:val="006844AB"/>
    <w:rsid w:val="0068698A"/>
    <w:rsid w:val="00692B48"/>
    <w:rsid w:val="00694AF0"/>
    <w:rsid w:val="006955E3"/>
    <w:rsid w:val="006A00E7"/>
    <w:rsid w:val="006A0F6C"/>
    <w:rsid w:val="006A1F3E"/>
    <w:rsid w:val="006A40F3"/>
    <w:rsid w:val="006A4686"/>
    <w:rsid w:val="006A4FB6"/>
    <w:rsid w:val="006B025B"/>
    <w:rsid w:val="006B0E9E"/>
    <w:rsid w:val="006B12FE"/>
    <w:rsid w:val="006B3CE6"/>
    <w:rsid w:val="006B4B85"/>
    <w:rsid w:val="006B5AE4"/>
    <w:rsid w:val="006B6A10"/>
    <w:rsid w:val="006C0AEC"/>
    <w:rsid w:val="006C2603"/>
    <w:rsid w:val="006C2F8E"/>
    <w:rsid w:val="006C6EE4"/>
    <w:rsid w:val="006D1428"/>
    <w:rsid w:val="006D1507"/>
    <w:rsid w:val="006D31CC"/>
    <w:rsid w:val="006D3EA0"/>
    <w:rsid w:val="006D4054"/>
    <w:rsid w:val="006D42B7"/>
    <w:rsid w:val="006D4504"/>
    <w:rsid w:val="006D7DF7"/>
    <w:rsid w:val="006E02EC"/>
    <w:rsid w:val="006E3910"/>
    <w:rsid w:val="006E63BC"/>
    <w:rsid w:val="006F1302"/>
    <w:rsid w:val="006F2CBA"/>
    <w:rsid w:val="006F5D3F"/>
    <w:rsid w:val="006F712B"/>
    <w:rsid w:val="00700EAE"/>
    <w:rsid w:val="007014A4"/>
    <w:rsid w:val="00704ABF"/>
    <w:rsid w:val="00707D0E"/>
    <w:rsid w:val="007128D4"/>
    <w:rsid w:val="00716031"/>
    <w:rsid w:val="007176E5"/>
    <w:rsid w:val="00720629"/>
    <w:rsid w:val="00720C4E"/>
    <w:rsid w:val="007210B5"/>
    <w:rsid w:val="007211B1"/>
    <w:rsid w:val="007224E4"/>
    <w:rsid w:val="00727390"/>
    <w:rsid w:val="0073063D"/>
    <w:rsid w:val="00733687"/>
    <w:rsid w:val="00734460"/>
    <w:rsid w:val="007352A0"/>
    <w:rsid w:val="00737380"/>
    <w:rsid w:val="00742EDF"/>
    <w:rsid w:val="00745406"/>
    <w:rsid w:val="00746187"/>
    <w:rsid w:val="007466A2"/>
    <w:rsid w:val="00750517"/>
    <w:rsid w:val="007509FD"/>
    <w:rsid w:val="0075228C"/>
    <w:rsid w:val="00754395"/>
    <w:rsid w:val="007567BB"/>
    <w:rsid w:val="00761BC4"/>
    <w:rsid w:val="0076254F"/>
    <w:rsid w:val="00762EBD"/>
    <w:rsid w:val="00764812"/>
    <w:rsid w:val="007659B8"/>
    <w:rsid w:val="007709CA"/>
    <w:rsid w:val="007801F5"/>
    <w:rsid w:val="0078050A"/>
    <w:rsid w:val="00782D6C"/>
    <w:rsid w:val="00783CA4"/>
    <w:rsid w:val="007842FB"/>
    <w:rsid w:val="00784769"/>
    <w:rsid w:val="00786124"/>
    <w:rsid w:val="00791161"/>
    <w:rsid w:val="0079318B"/>
    <w:rsid w:val="007938A7"/>
    <w:rsid w:val="00793C12"/>
    <w:rsid w:val="00793EFD"/>
    <w:rsid w:val="00794065"/>
    <w:rsid w:val="0079514B"/>
    <w:rsid w:val="00796A34"/>
    <w:rsid w:val="007A013D"/>
    <w:rsid w:val="007A1AC3"/>
    <w:rsid w:val="007A20B4"/>
    <w:rsid w:val="007A2DC1"/>
    <w:rsid w:val="007A4A8E"/>
    <w:rsid w:val="007A4DF4"/>
    <w:rsid w:val="007A4ED9"/>
    <w:rsid w:val="007A536B"/>
    <w:rsid w:val="007A7197"/>
    <w:rsid w:val="007A7C3B"/>
    <w:rsid w:val="007B12E3"/>
    <w:rsid w:val="007B157E"/>
    <w:rsid w:val="007B273B"/>
    <w:rsid w:val="007B70BC"/>
    <w:rsid w:val="007B7A3B"/>
    <w:rsid w:val="007C2046"/>
    <w:rsid w:val="007C7A9F"/>
    <w:rsid w:val="007D0ACC"/>
    <w:rsid w:val="007D2EE0"/>
    <w:rsid w:val="007D3319"/>
    <w:rsid w:val="007D335D"/>
    <w:rsid w:val="007D58E4"/>
    <w:rsid w:val="007D5E7D"/>
    <w:rsid w:val="007E1969"/>
    <w:rsid w:val="007E3314"/>
    <w:rsid w:val="007E4B03"/>
    <w:rsid w:val="007E706E"/>
    <w:rsid w:val="007F08FB"/>
    <w:rsid w:val="007F1144"/>
    <w:rsid w:val="007F324B"/>
    <w:rsid w:val="007F7D8A"/>
    <w:rsid w:val="00803A6B"/>
    <w:rsid w:val="00805412"/>
    <w:rsid w:val="0080553C"/>
    <w:rsid w:val="00805B46"/>
    <w:rsid w:val="00805E41"/>
    <w:rsid w:val="00811ADC"/>
    <w:rsid w:val="00814286"/>
    <w:rsid w:val="00820F65"/>
    <w:rsid w:val="0082316B"/>
    <w:rsid w:val="0082535D"/>
    <w:rsid w:val="00825DC2"/>
    <w:rsid w:val="00825F4C"/>
    <w:rsid w:val="0083119C"/>
    <w:rsid w:val="00834AD3"/>
    <w:rsid w:val="008353DD"/>
    <w:rsid w:val="00837712"/>
    <w:rsid w:val="00841CDA"/>
    <w:rsid w:val="00842DD5"/>
    <w:rsid w:val="00842F2D"/>
    <w:rsid w:val="00842FF9"/>
    <w:rsid w:val="0084376E"/>
    <w:rsid w:val="00843795"/>
    <w:rsid w:val="00844CB0"/>
    <w:rsid w:val="00847295"/>
    <w:rsid w:val="00847F0F"/>
    <w:rsid w:val="0085106E"/>
    <w:rsid w:val="00852448"/>
    <w:rsid w:val="00853481"/>
    <w:rsid w:val="00856953"/>
    <w:rsid w:val="008573BE"/>
    <w:rsid w:val="0086399B"/>
    <w:rsid w:val="00863B6E"/>
    <w:rsid w:val="00870089"/>
    <w:rsid w:val="00870EC6"/>
    <w:rsid w:val="00871F8D"/>
    <w:rsid w:val="00876525"/>
    <w:rsid w:val="0088258A"/>
    <w:rsid w:val="00886332"/>
    <w:rsid w:val="00891056"/>
    <w:rsid w:val="00893FED"/>
    <w:rsid w:val="00895361"/>
    <w:rsid w:val="00895382"/>
    <w:rsid w:val="008953A4"/>
    <w:rsid w:val="00895CC6"/>
    <w:rsid w:val="008A26D9"/>
    <w:rsid w:val="008A3437"/>
    <w:rsid w:val="008A3562"/>
    <w:rsid w:val="008B3391"/>
    <w:rsid w:val="008B379A"/>
    <w:rsid w:val="008B394F"/>
    <w:rsid w:val="008B5457"/>
    <w:rsid w:val="008B698E"/>
    <w:rsid w:val="008C0361"/>
    <w:rsid w:val="008C0C29"/>
    <w:rsid w:val="008C135E"/>
    <w:rsid w:val="008C2170"/>
    <w:rsid w:val="008C39D9"/>
    <w:rsid w:val="008C53D2"/>
    <w:rsid w:val="008D219A"/>
    <w:rsid w:val="008D285F"/>
    <w:rsid w:val="008D2E0E"/>
    <w:rsid w:val="008D49D6"/>
    <w:rsid w:val="008D5019"/>
    <w:rsid w:val="008D6F56"/>
    <w:rsid w:val="008E068D"/>
    <w:rsid w:val="008E2A22"/>
    <w:rsid w:val="008E5440"/>
    <w:rsid w:val="008F0CC2"/>
    <w:rsid w:val="008F2D9C"/>
    <w:rsid w:val="008F3638"/>
    <w:rsid w:val="008F3A10"/>
    <w:rsid w:val="008F4441"/>
    <w:rsid w:val="008F67A3"/>
    <w:rsid w:val="008F6F31"/>
    <w:rsid w:val="008F74DF"/>
    <w:rsid w:val="00900EED"/>
    <w:rsid w:val="0090158F"/>
    <w:rsid w:val="00906447"/>
    <w:rsid w:val="00911ECE"/>
    <w:rsid w:val="00912719"/>
    <w:rsid w:val="009127BA"/>
    <w:rsid w:val="00915B46"/>
    <w:rsid w:val="009227A6"/>
    <w:rsid w:val="00924267"/>
    <w:rsid w:val="0092632B"/>
    <w:rsid w:val="009270EE"/>
    <w:rsid w:val="00931A4E"/>
    <w:rsid w:val="0093204F"/>
    <w:rsid w:val="00932A7A"/>
    <w:rsid w:val="00933EC1"/>
    <w:rsid w:val="00935FD8"/>
    <w:rsid w:val="00936CDD"/>
    <w:rsid w:val="00936D64"/>
    <w:rsid w:val="00941D88"/>
    <w:rsid w:val="0094268F"/>
    <w:rsid w:val="00943DF6"/>
    <w:rsid w:val="00946F1D"/>
    <w:rsid w:val="009530DB"/>
    <w:rsid w:val="00953676"/>
    <w:rsid w:val="00953B14"/>
    <w:rsid w:val="009614B0"/>
    <w:rsid w:val="00962C9D"/>
    <w:rsid w:val="00965BF0"/>
    <w:rsid w:val="009705EE"/>
    <w:rsid w:val="00975F0D"/>
    <w:rsid w:val="00977927"/>
    <w:rsid w:val="0098135C"/>
    <w:rsid w:val="00981413"/>
    <w:rsid w:val="0098156A"/>
    <w:rsid w:val="00981C94"/>
    <w:rsid w:val="009820A5"/>
    <w:rsid w:val="00985102"/>
    <w:rsid w:val="009854EF"/>
    <w:rsid w:val="00991BAC"/>
    <w:rsid w:val="009948C5"/>
    <w:rsid w:val="00996E20"/>
    <w:rsid w:val="0099773F"/>
    <w:rsid w:val="009978BE"/>
    <w:rsid w:val="00997F41"/>
    <w:rsid w:val="009A1E00"/>
    <w:rsid w:val="009A3623"/>
    <w:rsid w:val="009A6EA0"/>
    <w:rsid w:val="009B06FD"/>
    <w:rsid w:val="009B326E"/>
    <w:rsid w:val="009B4A3E"/>
    <w:rsid w:val="009B51BE"/>
    <w:rsid w:val="009B666F"/>
    <w:rsid w:val="009B7D30"/>
    <w:rsid w:val="009C0D0D"/>
    <w:rsid w:val="009C1335"/>
    <w:rsid w:val="009C1AB2"/>
    <w:rsid w:val="009C7251"/>
    <w:rsid w:val="009C78FE"/>
    <w:rsid w:val="009D0F7B"/>
    <w:rsid w:val="009D34BD"/>
    <w:rsid w:val="009D3923"/>
    <w:rsid w:val="009D4484"/>
    <w:rsid w:val="009E2E91"/>
    <w:rsid w:val="009E340C"/>
    <w:rsid w:val="009F270D"/>
    <w:rsid w:val="009F61F0"/>
    <w:rsid w:val="009F6C26"/>
    <w:rsid w:val="00A00D6B"/>
    <w:rsid w:val="00A028A2"/>
    <w:rsid w:val="00A03AB0"/>
    <w:rsid w:val="00A05614"/>
    <w:rsid w:val="00A05E84"/>
    <w:rsid w:val="00A070B8"/>
    <w:rsid w:val="00A12BE9"/>
    <w:rsid w:val="00A139F5"/>
    <w:rsid w:val="00A15944"/>
    <w:rsid w:val="00A22781"/>
    <w:rsid w:val="00A24F16"/>
    <w:rsid w:val="00A2656B"/>
    <w:rsid w:val="00A27B37"/>
    <w:rsid w:val="00A365F4"/>
    <w:rsid w:val="00A37F22"/>
    <w:rsid w:val="00A400C3"/>
    <w:rsid w:val="00A42232"/>
    <w:rsid w:val="00A42AE8"/>
    <w:rsid w:val="00A4508B"/>
    <w:rsid w:val="00A46375"/>
    <w:rsid w:val="00A47D80"/>
    <w:rsid w:val="00A50AFA"/>
    <w:rsid w:val="00A517D3"/>
    <w:rsid w:val="00A52445"/>
    <w:rsid w:val="00A53132"/>
    <w:rsid w:val="00A563F2"/>
    <w:rsid w:val="00A566E8"/>
    <w:rsid w:val="00A56F91"/>
    <w:rsid w:val="00A63998"/>
    <w:rsid w:val="00A6532E"/>
    <w:rsid w:val="00A65462"/>
    <w:rsid w:val="00A71259"/>
    <w:rsid w:val="00A721D8"/>
    <w:rsid w:val="00A80E18"/>
    <w:rsid w:val="00A810F9"/>
    <w:rsid w:val="00A83076"/>
    <w:rsid w:val="00A86ECC"/>
    <w:rsid w:val="00A86FCC"/>
    <w:rsid w:val="00A90B79"/>
    <w:rsid w:val="00A913F6"/>
    <w:rsid w:val="00A934AB"/>
    <w:rsid w:val="00A94541"/>
    <w:rsid w:val="00A96B76"/>
    <w:rsid w:val="00AA6522"/>
    <w:rsid w:val="00AA710D"/>
    <w:rsid w:val="00AA71E1"/>
    <w:rsid w:val="00AB348E"/>
    <w:rsid w:val="00AB5227"/>
    <w:rsid w:val="00AB5642"/>
    <w:rsid w:val="00AB6D25"/>
    <w:rsid w:val="00AC152A"/>
    <w:rsid w:val="00AC1A35"/>
    <w:rsid w:val="00AD1AF9"/>
    <w:rsid w:val="00AD3258"/>
    <w:rsid w:val="00AD5EE6"/>
    <w:rsid w:val="00AD7F2D"/>
    <w:rsid w:val="00AE032F"/>
    <w:rsid w:val="00AE0A96"/>
    <w:rsid w:val="00AE0D04"/>
    <w:rsid w:val="00AE2298"/>
    <w:rsid w:val="00AE2D4B"/>
    <w:rsid w:val="00AE4F99"/>
    <w:rsid w:val="00AE562F"/>
    <w:rsid w:val="00AE5B37"/>
    <w:rsid w:val="00AE73D1"/>
    <w:rsid w:val="00AF0E54"/>
    <w:rsid w:val="00AF37B9"/>
    <w:rsid w:val="00B00273"/>
    <w:rsid w:val="00B02850"/>
    <w:rsid w:val="00B058DF"/>
    <w:rsid w:val="00B07BA2"/>
    <w:rsid w:val="00B10F90"/>
    <w:rsid w:val="00B11B69"/>
    <w:rsid w:val="00B11C8C"/>
    <w:rsid w:val="00B14952"/>
    <w:rsid w:val="00B2060F"/>
    <w:rsid w:val="00B20809"/>
    <w:rsid w:val="00B2415D"/>
    <w:rsid w:val="00B302FB"/>
    <w:rsid w:val="00B31192"/>
    <w:rsid w:val="00B31E5A"/>
    <w:rsid w:val="00B33DE8"/>
    <w:rsid w:val="00B3467B"/>
    <w:rsid w:val="00B37980"/>
    <w:rsid w:val="00B41E5F"/>
    <w:rsid w:val="00B42905"/>
    <w:rsid w:val="00B44A5B"/>
    <w:rsid w:val="00B456C5"/>
    <w:rsid w:val="00B520A3"/>
    <w:rsid w:val="00B53EDF"/>
    <w:rsid w:val="00B54C18"/>
    <w:rsid w:val="00B55496"/>
    <w:rsid w:val="00B5620E"/>
    <w:rsid w:val="00B60085"/>
    <w:rsid w:val="00B624D3"/>
    <w:rsid w:val="00B636D9"/>
    <w:rsid w:val="00B653AB"/>
    <w:rsid w:val="00B65F9E"/>
    <w:rsid w:val="00B66B19"/>
    <w:rsid w:val="00B72D54"/>
    <w:rsid w:val="00B7700B"/>
    <w:rsid w:val="00B81146"/>
    <w:rsid w:val="00B82451"/>
    <w:rsid w:val="00B82471"/>
    <w:rsid w:val="00B83CC6"/>
    <w:rsid w:val="00B914E9"/>
    <w:rsid w:val="00B917DC"/>
    <w:rsid w:val="00B92695"/>
    <w:rsid w:val="00B9378C"/>
    <w:rsid w:val="00B956EE"/>
    <w:rsid w:val="00B96536"/>
    <w:rsid w:val="00BA0BEB"/>
    <w:rsid w:val="00BA2646"/>
    <w:rsid w:val="00BA2BA1"/>
    <w:rsid w:val="00BA3562"/>
    <w:rsid w:val="00BB0CCF"/>
    <w:rsid w:val="00BB1635"/>
    <w:rsid w:val="00BB29CE"/>
    <w:rsid w:val="00BB4F09"/>
    <w:rsid w:val="00BB627B"/>
    <w:rsid w:val="00BB77EA"/>
    <w:rsid w:val="00BC021E"/>
    <w:rsid w:val="00BC581F"/>
    <w:rsid w:val="00BD2E98"/>
    <w:rsid w:val="00BD4E33"/>
    <w:rsid w:val="00BD5314"/>
    <w:rsid w:val="00BD730B"/>
    <w:rsid w:val="00BD7806"/>
    <w:rsid w:val="00BD78F3"/>
    <w:rsid w:val="00BE0ECA"/>
    <w:rsid w:val="00BE4AE1"/>
    <w:rsid w:val="00BF1DA6"/>
    <w:rsid w:val="00BF266F"/>
    <w:rsid w:val="00BF4AEB"/>
    <w:rsid w:val="00BF62D7"/>
    <w:rsid w:val="00C030DE"/>
    <w:rsid w:val="00C03BAE"/>
    <w:rsid w:val="00C07D1D"/>
    <w:rsid w:val="00C10E51"/>
    <w:rsid w:val="00C13084"/>
    <w:rsid w:val="00C145E2"/>
    <w:rsid w:val="00C15CC1"/>
    <w:rsid w:val="00C22105"/>
    <w:rsid w:val="00C244B6"/>
    <w:rsid w:val="00C254CC"/>
    <w:rsid w:val="00C2570D"/>
    <w:rsid w:val="00C26A63"/>
    <w:rsid w:val="00C27822"/>
    <w:rsid w:val="00C306CD"/>
    <w:rsid w:val="00C320E9"/>
    <w:rsid w:val="00C3702F"/>
    <w:rsid w:val="00C4062D"/>
    <w:rsid w:val="00C43F73"/>
    <w:rsid w:val="00C44630"/>
    <w:rsid w:val="00C4500A"/>
    <w:rsid w:val="00C456E2"/>
    <w:rsid w:val="00C45E37"/>
    <w:rsid w:val="00C50746"/>
    <w:rsid w:val="00C532BA"/>
    <w:rsid w:val="00C53732"/>
    <w:rsid w:val="00C64A37"/>
    <w:rsid w:val="00C64A83"/>
    <w:rsid w:val="00C64C60"/>
    <w:rsid w:val="00C70228"/>
    <w:rsid w:val="00C7158E"/>
    <w:rsid w:val="00C718A1"/>
    <w:rsid w:val="00C7250B"/>
    <w:rsid w:val="00C7346B"/>
    <w:rsid w:val="00C76858"/>
    <w:rsid w:val="00C77C0E"/>
    <w:rsid w:val="00C77D05"/>
    <w:rsid w:val="00C804F9"/>
    <w:rsid w:val="00C91687"/>
    <w:rsid w:val="00C91C98"/>
    <w:rsid w:val="00C924A8"/>
    <w:rsid w:val="00C92D85"/>
    <w:rsid w:val="00C9428C"/>
    <w:rsid w:val="00C945FE"/>
    <w:rsid w:val="00C9600A"/>
    <w:rsid w:val="00C96E59"/>
    <w:rsid w:val="00C96FAA"/>
    <w:rsid w:val="00C97A04"/>
    <w:rsid w:val="00CA107B"/>
    <w:rsid w:val="00CA259A"/>
    <w:rsid w:val="00CA283F"/>
    <w:rsid w:val="00CA484D"/>
    <w:rsid w:val="00CA4FB6"/>
    <w:rsid w:val="00CB078F"/>
    <w:rsid w:val="00CB193D"/>
    <w:rsid w:val="00CB5442"/>
    <w:rsid w:val="00CB7415"/>
    <w:rsid w:val="00CC2559"/>
    <w:rsid w:val="00CC2573"/>
    <w:rsid w:val="00CC2655"/>
    <w:rsid w:val="00CC739E"/>
    <w:rsid w:val="00CC75F7"/>
    <w:rsid w:val="00CD134B"/>
    <w:rsid w:val="00CD2B7B"/>
    <w:rsid w:val="00CD4523"/>
    <w:rsid w:val="00CD4ED5"/>
    <w:rsid w:val="00CD58B7"/>
    <w:rsid w:val="00CE466F"/>
    <w:rsid w:val="00CE5D2C"/>
    <w:rsid w:val="00CE7C9D"/>
    <w:rsid w:val="00CE7E94"/>
    <w:rsid w:val="00CF05DA"/>
    <w:rsid w:val="00CF4099"/>
    <w:rsid w:val="00CF7542"/>
    <w:rsid w:val="00CF762E"/>
    <w:rsid w:val="00D00796"/>
    <w:rsid w:val="00D02147"/>
    <w:rsid w:val="00D0337F"/>
    <w:rsid w:val="00D03B78"/>
    <w:rsid w:val="00D12548"/>
    <w:rsid w:val="00D13732"/>
    <w:rsid w:val="00D1633B"/>
    <w:rsid w:val="00D21425"/>
    <w:rsid w:val="00D23D7B"/>
    <w:rsid w:val="00D2401B"/>
    <w:rsid w:val="00D2437F"/>
    <w:rsid w:val="00D2566A"/>
    <w:rsid w:val="00D25BEE"/>
    <w:rsid w:val="00D261A2"/>
    <w:rsid w:val="00D2696E"/>
    <w:rsid w:val="00D300F6"/>
    <w:rsid w:val="00D313CF"/>
    <w:rsid w:val="00D32132"/>
    <w:rsid w:val="00D3621A"/>
    <w:rsid w:val="00D37406"/>
    <w:rsid w:val="00D37A1D"/>
    <w:rsid w:val="00D43067"/>
    <w:rsid w:val="00D437F4"/>
    <w:rsid w:val="00D453F9"/>
    <w:rsid w:val="00D46806"/>
    <w:rsid w:val="00D46CBF"/>
    <w:rsid w:val="00D51CF5"/>
    <w:rsid w:val="00D52456"/>
    <w:rsid w:val="00D53374"/>
    <w:rsid w:val="00D54496"/>
    <w:rsid w:val="00D55F7D"/>
    <w:rsid w:val="00D569D7"/>
    <w:rsid w:val="00D569FB"/>
    <w:rsid w:val="00D60BD6"/>
    <w:rsid w:val="00D616D2"/>
    <w:rsid w:val="00D616F2"/>
    <w:rsid w:val="00D63B5F"/>
    <w:rsid w:val="00D70979"/>
    <w:rsid w:val="00D70EF7"/>
    <w:rsid w:val="00D77337"/>
    <w:rsid w:val="00D77C6D"/>
    <w:rsid w:val="00D81E4F"/>
    <w:rsid w:val="00D81E7C"/>
    <w:rsid w:val="00D8397C"/>
    <w:rsid w:val="00D83F12"/>
    <w:rsid w:val="00D94284"/>
    <w:rsid w:val="00D94B72"/>
    <w:rsid w:val="00D94EED"/>
    <w:rsid w:val="00D95D6A"/>
    <w:rsid w:val="00D96026"/>
    <w:rsid w:val="00D9773A"/>
    <w:rsid w:val="00DA1519"/>
    <w:rsid w:val="00DA1605"/>
    <w:rsid w:val="00DA2CDB"/>
    <w:rsid w:val="00DA7C1C"/>
    <w:rsid w:val="00DB031A"/>
    <w:rsid w:val="00DB0D8D"/>
    <w:rsid w:val="00DB147A"/>
    <w:rsid w:val="00DB1B7A"/>
    <w:rsid w:val="00DB3548"/>
    <w:rsid w:val="00DB4214"/>
    <w:rsid w:val="00DB47F5"/>
    <w:rsid w:val="00DB48AC"/>
    <w:rsid w:val="00DB5F8A"/>
    <w:rsid w:val="00DC36D1"/>
    <w:rsid w:val="00DC5604"/>
    <w:rsid w:val="00DC6708"/>
    <w:rsid w:val="00DC68A2"/>
    <w:rsid w:val="00DC7FA2"/>
    <w:rsid w:val="00DD000D"/>
    <w:rsid w:val="00DD2190"/>
    <w:rsid w:val="00DD4152"/>
    <w:rsid w:val="00DD6250"/>
    <w:rsid w:val="00DD7628"/>
    <w:rsid w:val="00DE08FB"/>
    <w:rsid w:val="00DE16CB"/>
    <w:rsid w:val="00DE329C"/>
    <w:rsid w:val="00DE34B0"/>
    <w:rsid w:val="00DE3ACB"/>
    <w:rsid w:val="00DE646A"/>
    <w:rsid w:val="00DF2599"/>
    <w:rsid w:val="00DF262E"/>
    <w:rsid w:val="00DF3FB5"/>
    <w:rsid w:val="00E01436"/>
    <w:rsid w:val="00E03968"/>
    <w:rsid w:val="00E045BD"/>
    <w:rsid w:val="00E05F39"/>
    <w:rsid w:val="00E068E6"/>
    <w:rsid w:val="00E12CC6"/>
    <w:rsid w:val="00E13FDE"/>
    <w:rsid w:val="00E149C9"/>
    <w:rsid w:val="00E14CFA"/>
    <w:rsid w:val="00E16080"/>
    <w:rsid w:val="00E17B77"/>
    <w:rsid w:val="00E20F56"/>
    <w:rsid w:val="00E23337"/>
    <w:rsid w:val="00E259EA"/>
    <w:rsid w:val="00E25A82"/>
    <w:rsid w:val="00E32061"/>
    <w:rsid w:val="00E34039"/>
    <w:rsid w:val="00E35654"/>
    <w:rsid w:val="00E41253"/>
    <w:rsid w:val="00E42FF9"/>
    <w:rsid w:val="00E45254"/>
    <w:rsid w:val="00E46D35"/>
    <w:rsid w:val="00E4714C"/>
    <w:rsid w:val="00E50B3D"/>
    <w:rsid w:val="00E51AEB"/>
    <w:rsid w:val="00E522A7"/>
    <w:rsid w:val="00E54452"/>
    <w:rsid w:val="00E54CAA"/>
    <w:rsid w:val="00E629BF"/>
    <w:rsid w:val="00E649DD"/>
    <w:rsid w:val="00E664C5"/>
    <w:rsid w:val="00E671A2"/>
    <w:rsid w:val="00E67CCD"/>
    <w:rsid w:val="00E7372D"/>
    <w:rsid w:val="00E74D5A"/>
    <w:rsid w:val="00E75AC9"/>
    <w:rsid w:val="00E76D26"/>
    <w:rsid w:val="00E77BF0"/>
    <w:rsid w:val="00E8144C"/>
    <w:rsid w:val="00E81A78"/>
    <w:rsid w:val="00E823B2"/>
    <w:rsid w:val="00E8418F"/>
    <w:rsid w:val="00E87F69"/>
    <w:rsid w:val="00E91E18"/>
    <w:rsid w:val="00E97386"/>
    <w:rsid w:val="00EA1906"/>
    <w:rsid w:val="00EA2D8F"/>
    <w:rsid w:val="00EA32B1"/>
    <w:rsid w:val="00EA395A"/>
    <w:rsid w:val="00EA57CE"/>
    <w:rsid w:val="00EA6BBA"/>
    <w:rsid w:val="00EB1390"/>
    <w:rsid w:val="00EB1967"/>
    <w:rsid w:val="00EB2C71"/>
    <w:rsid w:val="00EB4340"/>
    <w:rsid w:val="00EB556D"/>
    <w:rsid w:val="00EB5A7D"/>
    <w:rsid w:val="00EB7DE8"/>
    <w:rsid w:val="00EC1E8D"/>
    <w:rsid w:val="00EC4173"/>
    <w:rsid w:val="00EC482F"/>
    <w:rsid w:val="00EC49A5"/>
    <w:rsid w:val="00EC6DE5"/>
    <w:rsid w:val="00ED55C0"/>
    <w:rsid w:val="00ED682B"/>
    <w:rsid w:val="00EE1691"/>
    <w:rsid w:val="00EE2AE3"/>
    <w:rsid w:val="00EE2E9B"/>
    <w:rsid w:val="00EE3D4A"/>
    <w:rsid w:val="00EE41D5"/>
    <w:rsid w:val="00EE5957"/>
    <w:rsid w:val="00EF58ED"/>
    <w:rsid w:val="00F037A4"/>
    <w:rsid w:val="00F051B1"/>
    <w:rsid w:val="00F06952"/>
    <w:rsid w:val="00F07B9B"/>
    <w:rsid w:val="00F115ED"/>
    <w:rsid w:val="00F136ED"/>
    <w:rsid w:val="00F2172E"/>
    <w:rsid w:val="00F2501B"/>
    <w:rsid w:val="00F25430"/>
    <w:rsid w:val="00F27C8F"/>
    <w:rsid w:val="00F30C37"/>
    <w:rsid w:val="00F30CF8"/>
    <w:rsid w:val="00F30D55"/>
    <w:rsid w:val="00F32749"/>
    <w:rsid w:val="00F334DB"/>
    <w:rsid w:val="00F344D8"/>
    <w:rsid w:val="00F367E7"/>
    <w:rsid w:val="00F37172"/>
    <w:rsid w:val="00F37E8C"/>
    <w:rsid w:val="00F40519"/>
    <w:rsid w:val="00F41D5F"/>
    <w:rsid w:val="00F42844"/>
    <w:rsid w:val="00F4477E"/>
    <w:rsid w:val="00F44ED4"/>
    <w:rsid w:val="00F47EE4"/>
    <w:rsid w:val="00F52CA5"/>
    <w:rsid w:val="00F53A1A"/>
    <w:rsid w:val="00F56686"/>
    <w:rsid w:val="00F57862"/>
    <w:rsid w:val="00F67D8F"/>
    <w:rsid w:val="00F709E0"/>
    <w:rsid w:val="00F7488B"/>
    <w:rsid w:val="00F74EC5"/>
    <w:rsid w:val="00F77C56"/>
    <w:rsid w:val="00F802BE"/>
    <w:rsid w:val="00F80E93"/>
    <w:rsid w:val="00F84E32"/>
    <w:rsid w:val="00F85736"/>
    <w:rsid w:val="00F86024"/>
    <w:rsid w:val="00F8611A"/>
    <w:rsid w:val="00F8679A"/>
    <w:rsid w:val="00F87CA9"/>
    <w:rsid w:val="00F963F6"/>
    <w:rsid w:val="00F979AC"/>
    <w:rsid w:val="00FA0CC6"/>
    <w:rsid w:val="00FA148C"/>
    <w:rsid w:val="00FA5128"/>
    <w:rsid w:val="00FA59E3"/>
    <w:rsid w:val="00FA7227"/>
    <w:rsid w:val="00FB42D4"/>
    <w:rsid w:val="00FB5906"/>
    <w:rsid w:val="00FB6026"/>
    <w:rsid w:val="00FB762F"/>
    <w:rsid w:val="00FC105B"/>
    <w:rsid w:val="00FC2AED"/>
    <w:rsid w:val="00FC3789"/>
    <w:rsid w:val="00FC464A"/>
    <w:rsid w:val="00FD5EA7"/>
    <w:rsid w:val="00FD66BB"/>
    <w:rsid w:val="00FE0808"/>
    <w:rsid w:val="00FE0C26"/>
    <w:rsid w:val="00FF0A0B"/>
    <w:rsid w:val="00FF10F1"/>
    <w:rsid w:val="00FF3146"/>
    <w:rsid w:val="00FF4EDA"/>
    <w:rsid w:val="00FF5304"/>
    <w:rsid w:val="00FF7090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CEC1"/>
  <w15:docId w15:val="{D9DAF54C-8593-454B-B5AC-D35D579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1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NormalnyWeb">
    <w:name w:val="Normal (Web)"/>
    <w:basedOn w:val="Normalny"/>
    <w:uiPriority w:val="99"/>
    <w:semiHidden/>
    <w:unhideWhenUsed/>
    <w:rsid w:val="009B4A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D730B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14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14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14B0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14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14B0"/>
    <w:rPr>
      <w:rFonts w:ascii="Fira Sans" w:hAnsi="Fira Sans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B3548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B3548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A12BE9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2AE8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3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obszary-tematyczne/kultura-turystyka-sport/kultura/wyniki-finansowe-instytucji-kultury-w-i-kwartale-2020-roku,8,13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obszary-tematyczne/kultura-turystyka-sport/kultura/wyniki-finansowe-instytucji-kultury-w-i-kwartale-2020-roku,8,13.html" TargetMode="External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229,term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s/glossary/terms-used-in-official-statistics/39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metainformations/glossary/terms-used-in-official-statistics/395,term.html" TargetMode="External"/><Relationship Id="rId32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27" Type="http://schemas.openxmlformats.org/officeDocument/2006/relationships/hyperlink" Target="https://stat.gov.pl/en/topics/culture-tourism-sport/culture/financial-results-of-cultural-institutions-in-period-january-december-2019,13,12.html" TargetMode="External"/><Relationship Id="rId30" Type="http://schemas.openxmlformats.org/officeDocument/2006/relationships/hyperlink" Target="https://stat.gov.pl/en/metainformations/glossary/terms-used-in-official-statistics/229,term.html" TargetMode="External"/><Relationship Id="rId8" Type="http://schemas.openxmlformats.org/officeDocument/2006/relationships/footnotes" Target="footnotes.xml"/><Relationship Id="rId51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mfkrk01\sk\PUBLIKACJE,%20INF.SYGNALNE\realizowane%20w%202020\Informacje%20sygnalne\Wyniki%20finansowe%20instytucji%20kultury%20w%202020%20r.%20(I,%20II,%20III%20kwarta&#322;)\II%20kwarta&#322;%202020\Wykres%20dane%20do%20wykresu%202%20kw%202020%20r_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6.7130634986416166E-2"/>
          <c:y val="9.5020861135227674E-2"/>
          <c:w val="0.52813482525210664"/>
          <c:h val="0.7958584151754489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rgbClr val="001D77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1-501D-4F62-AB0D-328BFD32F76C}"/>
              </c:ext>
            </c:extLst>
          </c:dPt>
          <c:dPt>
            <c:idx val="1"/>
            <c:bubble3D val="0"/>
            <c:spPr>
              <a:solidFill>
                <a:srgbClr val="334A92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3-501D-4F62-AB0D-328BFD32F76C}"/>
              </c:ext>
            </c:extLst>
          </c:dPt>
          <c:dPt>
            <c:idx val="2"/>
            <c:bubble3D val="0"/>
            <c:spPr>
              <a:solidFill>
                <a:srgbClr val="6677AD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5-501D-4F62-AB0D-328BFD32F76C}"/>
              </c:ext>
            </c:extLst>
          </c:dPt>
          <c:dPt>
            <c:idx val="3"/>
            <c:bubble3D val="0"/>
            <c:spPr>
              <a:solidFill>
                <a:srgbClr val="99A5C9"/>
              </a:solidFill>
              <a:ln w="19050">
                <a:noFill/>
              </a:ln>
              <a:effectLst/>
            </c:spPr>
            <c:extLst xmlns:c15="http://schemas.microsoft.com/office/drawing/2012/chart" xmlns:c16r2="http://schemas.microsoft.com/office/drawing/2015/06/chart">
              <c:ext xmlns:c16="http://schemas.microsoft.com/office/drawing/2014/chart" uri="{C3380CC4-5D6E-409C-BE32-E72D297353CC}">
                <c16:uniqueId val="{00000007-501D-4F62-AB0D-328BFD32F76C}"/>
              </c:ext>
            </c:extLst>
          </c:dPt>
          <c:dLbls>
            <c:dLbl>
              <c:idx val="0"/>
              <c:layout>
                <c:manualLayout>
                  <c:x val="-0.14644488565677677"/>
                  <c:y val="5.1106288476205075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</a:rPr>
                      <a:t>41.9%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5235406081389312E-2"/>
                  <c:y val="-0.1742883380550367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Fira Sans" panose="020B0503050000020004" pitchFamily="34" charset="0"/>
                        <a:ea typeface="Fira Sans" panose="020B0503050000020004" pitchFamily="34" charset="0"/>
                        <a:cs typeface="+mn-cs"/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32.6%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247214172718898"/>
                  <c:y val="0.115325002696764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22.0%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165354330708158E-3"/>
                  <c:y val="1.23062489529234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3.5%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5="http://schemas.microsoft.com/office/drawing/2012/chart"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Arkusz1!$C$9:$C$12</c:f>
              <c:strCache>
                <c:ptCount val="4"/>
                <c:pt idx="0">
                  <c:v>gminas local government organisational units</c:v>
                </c:pt>
                <c:pt idx="1">
                  <c:v>voivodships local government  organisational units</c:v>
                </c:pt>
                <c:pt idx="2">
                  <c:v>state organisational units</c:v>
                </c:pt>
                <c:pt idx="3">
                  <c:v>powiats local government organisational units</c:v>
                </c:pt>
              </c:strCache>
            </c:strRef>
          </c:cat>
          <c:val>
            <c:numRef>
              <c:f>Arkusz1!$D$9:$D$12</c:f>
              <c:numCache>
                <c:formatCode>0.0%</c:formatCode>
                <c:ptCount val="4"/>
                <c:pt idx="0">
                  <c:v>0.41899999999999998</c:v>
                </c:pt>
                <c:pt idx="1">
                  <c:v>0.32600000000000001</c:v>
                </c:pt>
                <c:pt idx="2">
                  <c:v>0.22</c:v>
                </c:pt>
                <c:pt idx="3">
                  <c:v>3.5000000000000003E-2</c:v>
                </c:pt>
              </c:numCache>
            </c:numRef>
          </c:val>
          <c:extLst xmlns:c15="http://schemas.microsoft.com/office/drawing/2012/chart" xmlns:c16r2="http://schemas.microsoft.com/office/drawing/2015/06/chart">
            <c:ext xmlns:c16="http://schemas.microsoft.com/office/drawing/2014/chart" uri="{C3380CC4-5D6E-409C-BE32-E72D297353CC}">
              <c16:uniqueId val="{00000008-501D-4F62-AB0D-328BFD32F76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  <c:extLst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5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3.Financial_results_of_cultural_institutions_in_1st_half_of_2020.docx.docx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E33CA-D8E0-44C2-B800-0129F380C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37A676B-0213-4A0C-85EB-53724E024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665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2020-09-18T11:08:00Z</cp:lastPrinted>
  <dcterms:created xsi:type="dcterms:W3CDTF">2020-09-16T06:27:00Z</dcterms:created>
  <dcterms:modified xsi:type="dcterms:W3CDTF">2020-09-21T09:48:00Z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