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6D95" w14:textId="7A1C4B9A" w:rsidR="00C06BF5" w:rsidRPr="00A14039" w:rsidRDefault="00E75063" w:rsidP="00C06BF5">
      <w:pPr>
        <w:pStyle w:val="tytuinformacji"/>
        <w:rPr>
          <w:rFonts w:cs="Fira Sans Extra Condensed SemiB"/>
          <w:bCs/>
          <w:spacing w:val="-4"/>
          <w:w w:val="95"/>
          <w:szCs w:val="40"/>
          <w:lang w:val="en-GB"/>
        </w:rPr>
      </w:pP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 xml:space="preserve">Financial results of cultural institutions in </w:t>
      </w:r>
      <w:r w:rsidR="00793E66">
        <w:rPr>
          <w:rFonts w:cs="Fira Sans Extra Condensed SemiB"/>
          <w:bCs/>
          <w:spacing w:val="-4"/>
          <w:w w:val="95"/>
          <w:szCs w:val="40"/>
          <w:lang w:val="en-GB"/>
        </w:rPr>
        <w:t xml:space="preserve">the </w:t>
      </w:r>
      <w:r w:rsidR="002D3E25">
        <w:rPr>
          <w:rFonts w:cs="Fira Sans Extra Condensed SemiB"/>
          <w:bCs/>
          <w:spacing w:val="-4"/>
          <w:w w:val="95"/>
          <w:szCs w:val="40"/>
          <w:lang w:val="en-GB"/>
        </w:rPr>
        <w:t>first quarter</w:t>
      </w: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 w:rsidR="002D3E25">
        <w:rPr>
          <w:rFonts w:cs="Fira Sans Extra Condensed SemiB"/>
          <w:bCs/>
          <w:spacing w:val="-4"/>
          <w:w w:val="95"/>
          <w:szCs w:val="40"/>
          <w:lang w:val="en-GB"/>
        </w:rPr>
        <w:t>of 2021</w:t>
      </w:r>
    </w:p>
    <w:p w14:paraId="14CCD31C" w14:textId="77777777" w:rsidR="00E75063" w:rsidRPr="00A14039" w:rsidRDefault="00E75063" w:rsidP="00C06BF5">
      <w:pPr>
        <w:pStyle w:val="tytuinformacji"/>
        <w:rPr>
          <w:sz w:val="32"/>
          <w:lang w:val="en-GB"/>
        </w:rPr>
      </w:pPr>
    </w:p>
    <w:p w14:paraId="10CB94D1" w14:textId="0EEB10B0" w:rsidR="00C06BF5" w:rsidRPr="00A14039" w:rsidRDefault="00E75063" w:rsidP="00C06BF5">
      <w:pPr>
        <w:pStyle w:val="LID"/>
        <w:rPr>
          <w:lang w:val="en-GB"/>
        </w:rPr>
      </w:pPr>
      <w:r w:rsidRPr="00A14039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EB4F112" wp14:editId="6E90FF13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4658" w14:textId="319384A4" w:rsidR="00E75063" w:rsidRPr="00B66B19" w:rsidRDefault="00E75063" w:rsidP="00E7506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373CB00" wp14:editId="7C3F9AEF">
                                  <wp:extent cx="336550" cy="330200"/>
                                  <wp:effectExtent l="0" t="0" r="635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21E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E255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 w:rsidR="00421E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D7183A6" w14:textId="77777777" w:rsidR="00E75063" w:rsidRPr="00A14039" w:rsidRDefault="00E75063" w:rsidP="00E750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14039">
                              <w:rPr>
                                <w:lang w:val="en-GB"/>
                              </w:rPr>
                              <w:t>Yearly decrease of total revenues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F1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2pt;width:154.2pt;height:91.5pt;z-index:25175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" fillcolor="#001d77" stroked="f">
                <v:textbox>
                  <w:txbxContent>
                    <w:p w14:paraId="65A24658" w14:textId="319384A4" w:rsidR="00E75063" w:rsidRPr="00B66B19" w:rsidRDefault="00E75063" w:rsidP="00E7506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373CB00" wp14:editId="7C3F9AEF">
                            <wp:extent cx="336550" cy="330200"/>
                            <wp:effectExtent l="0" t="0" r="635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21E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E255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="00421E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D7183A6" w14:textId="77777777" w:rsidR="00E75063" w:rsidRPr="00A14039" w:rsidRDefault="00E75063" w:rsidP="00E750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14039">
                        <w:rPr>
                          <w:lang w:val="en-GB"/>
                        </w:rPr>
                        <w:t>Yearly decrease of total revenues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013" w:rsidRPr="00DA7013">
        <w:rPr>
          <w:lang w:val="en-US"/>
        </w:rPr>
        <w:t>I</w:t>
      </w:r>
      <w:r w:rsidR="008563DC">
        <w:rPr>
          <w:lang w:val="en-GB"/>
        </w:rPr>
        <w:t xml:space="preserve">n the </w:t>
      </w:r>
      <w:r w:rsidRPr="00A14039">
        <w:rPr>
          <w:lang w:val="en-GB"/>
        </w:rPr>
        <w:t xml:space="preserve"> </w:t>
      </w:r>
      <w:r w:rsidR="008563DC">
        <w:rPr>
          <w:lang w:val="en-GB"/>
        </w:rPr>
        <w:t xml:space="preserve">first </w:t>
      </w:r>
      <w:r w:rsidR="00132A82">
        <w:rPr>
          <w:lang w:val="en-GB"/>
        </w:rPr>
        <w:t>quarter</w:t>
      </w:r>
      <w:r w:rsidR="008563DC">
        <w:rPr>
          <w:lang w:val="en-GB"/>
        </w:rPr>
        <w:t xml:space="preserve"> of </w:t>
      </w:r>
      <w:r w:rsidR="00132A82">
        <w:rPr>
          <w:lang w:val="en-GB"/>
        </w:rPr>
        <w:t>2021</w:t>
      </w:r>
      <w:r w:rsidRPr="00A14039">
        <w:rPr>
          <w:lang w:val="en-GB"/>
        </w:rPr>
        <w:t xml:space="preserve"> financial results of cultural institutions were lower compared to results in the same </w:t>
      </w:r>
      <w:r w:rsidR="002D3E25">
        <w:rPr>
          <w:lang w:val="en-GB"/>
        </w:rPr>
        <w:t>quarter</w:t>
      </w:r>
      <w:r w:rsidRPr="00A14039">
        <w:rPr>
          <w:lang w:val="en-GB"/>
        </w:rPr>
        <w:t xml:space="preserve"> of the previous yea</w:t>
      </w:r>
      <w:r w:rsidR="008563DC">
        <w:rPr>
          <w:lang w:val="en-GB"/>
        </w:rPr>
        <w:t>r. Total revenues decreased by 9.4% and total costs by 8.8%</w:t>
      </w:r>
      <w:r w:rsidR="00C96B07">
        <w:rPr>
          <w:lang w:val="en-GB"/>
        </w:rPr>
        <w:t>. I</w:t>
      </w:r>
      <w:r w:rsidR="008563DC">
        <w:rPr>
          <w:lang w:val="en-GB"/>
        </w:rPr>
        <w:t>nvestment outlays de</w:t>
      </w:r>
      <w:r w:rsidRPr="00A14039">
        <w:rPr>
          <w:lang w:val="en-GB"/>
        </w:rPr>
        <w:t xml:space="preserve">creased by </w:t>
      </w:r>
      <w:r w:rsidRPr="00A14039">
        <w:rPr>
          <w:b w:val="0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4B967D4E" wp14:editId="6751E77C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CC20" w14:textId="77777777" w:rsidR="00E75063" w:rsidRPr="006D7DF7" w:rsidRDefault="00E75063" w:rsidP="00E75063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7D4E" id="Pole tekstowe 60" o:spid="_x0000_s1027" type="#_x0000_t202" style="position:absolute;margin-left:415pt;margin-top:2.5pt;width:135.85pt;height:84.9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745CC20" w14:textId="77777777" w:rsidR="00E75063" w:rsidRPr="006D7DF7" w:rsidRDefault="00E75063" w:rsidP="00E75063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14039">
        <w:rPr>
          <w:lang w:val="en-GB"/>
        </w:rPr>
        <w:t>1</w:t>
      </w:r>
      <w:r w:rsidR="008563DC">
        <w:rPr>
          <w:lang w:val="en-GB"/>
        </w:rPr>
        <w:t>7.4</w:t>
      </w:r>
      <w:r w:rsidRPr="00A14039">
        <w:rPr>
          <w:lang w:val="en-GB"/>
        </w:rPr>
        <w:t>%</w:t>
      </w:r>
      <w:r w:rsidR="00C06BF5" w:rsidRPr="00A14039">
        <w:rPr>
          <w:lang w:val="en-GB"/>
        </w:rPr>
        <w:t>.</w:t>
      </w:r>
    </w:p>
    <w:p w14:paraId="6D18DFE1" w14:textId="77777777" w:rsidR="00C06BF5" w:rsidRPr="00A14039" w:rsidRDefault="00C06BF5" w:rsidP="00C06BF5">
      <w:pPr>
        <w:pStyle w:val="Nagwek1"/>
        <w:rPr>
          <w:lang w:val="en-GB"/>
        </w:rPr>
      </w:pPr>
    </w:p>
    <w:p w14:paraId="6E519F4A" w14:textId="77777777" w:rsidR="00A117C2" w:rsidRPr="00A14039" w:rsidRDefault="00A117C2" w:rsidP="00C06BF5">
      <w:pPr>
        <w:rPr>
          <w:spacing w:val="-7"/>
          <w:lang w:val="en-GB"/>
        </w:rPr>
      </w:pPr>
    </w:p>
    <w:p w14:paraId="4C58D118" w14:textId="4DE594AE" w:rsidR="00E75063" w:rsidRPr="009F0BAA" w:rsidRDefault="00E75063" w:rsidP="00E75063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r w:rsidRPr="009F0BAA">
        <w:rPr>
          <w:spacing w:val="-1"/>
          <w:lang w:val="en-GB"/>
        </w:rPr>
        <w:t xml:space="preserve">Total revenues </w:t>
      </w:r>
      <w:r w:rsidRPr="009F0BAA">
        <w:rPr>
          <w:spacing w:val="-7"/>
          <w:lang w:val="en-GB"/>
        </w:rPr>
        <w:t xml:space="preserve">of cultural institutions </w:t>
      </w:r>
      <w:r w:rsidRPr="009F0BAA">
        <w:rPr>
          <w:lang w:val="en-GB"/>
        </w:rPr>
        <w:t xml:space="preserve">in </w:t>
      </w:r>
      <w:r w:rsidR="00421EAC" w:rsidRPr="009F0BAA">
        <w:rPr>
          <w:lang w:val="en-GB"/>
        </w:rPr>
        <w:t xml:space="preserve">the first </w:t>
      </w:r>
      <w:r w:rsidR="002D3E25" w:rsidRPr="009F0BAA">
        <w:rPr>
          <w:lang w:val="en-GB"/>
        </w:rPr>
        <w:t>quarter</w:t>
      </w:r>
      <w:r w:rsidR="00421EAC" w:rsidRPr="009F0BAA">
        <w:rPr>
          <w:lang w:val="en-GB"/>
        </w:rPr>
        <w:t xml:space="preserve"> of </w:t>
      </w:r>
      <w:r w:rsidR="008A13C2">
        <w:rPr>
          <w:spacing w:val="-1"/>
          <w:lang w:val="en-GB"/>
        </w:rPr>
        <w:t>2021</w:t>
      </w:r>
      <w:r w:rsidR="00421EAC" w:rsidRPr="009F0BAA">
        <w:rPr>
          <w:spacing w:val="-7"/>
          <w:lang w:val="en-GB"/>
        </w:rPr>
        <w:t xml:space="preserve"> were 9.4</w:t>
      </w:r>
      <w:r w:rsidRPr="009F0BAA">
        <w:rPr>
          <w:spacing w:val="-7"/>
          <w:lang w:val="en-GB"/>
        </w:rPr>
        <w:t xml:space="preserve">% lower </w:t>
      </w:r>
      <w:r w:rsidRPr="009F0BAA">
        <w:rPr>
          <w:spacing w:val="-4"/>
          <w:lang w:val="en-GB"/>
        </w:rPr>
        <w:t xml:space="preserve">than revenues generated in the previous year </w:t>
      </w:r>
      <w:r w:rsidRPr="009F0BAA">
        <w:rPr>
          <w:spacing w:val="-1"/>
          <w:lang w:val="en-GB"/>
        </w:rPr>
        <w:t xml:space="preserve">and amounted to </w:t>
      </w:r>
      <w:r w:rsidR="00215D52">
        <w:rPr>
          <w:spacing w:val="-4"/>
          <w:lang w:val="en-GB"/>
        </w:rPr>
        <w:t>2,</w:t>
      </w:r>
      <w:r w:rsidR="00421EAC" w:rsidRPr="009F0BAA">
        <w:rPr>
          <w:spacing w:val="-4"/>
          <w:lang w:val="en-GB"/>
        </w:rPr>
        <w:t>229.3</w:t>
      </w:r>
      <w:r w:rsidRPr="009F0BAA">
        <w:rPr>
          <w:spacing w:val="-3"/>
          <w:lang w:val="en-GB"/>
        </w:rPr>
        <w:t> </w:t>
      </w:r>
      <w:r w:rsidRPr="009F0BAA">
        <w:rPr>
          <w:lang w:val="en-GB"/>
        </w:rPr>
        <w:t>million</w:t>
      </w:r>
      <w:r w:rsidRPr="009F0BAA">
        <w:rPr>
          <w:spacing w:val="-7"/>
          <w:lang w:val="en-GB"/>
        </w:rPr>
        <w:t xml:space="preserve"> </w:t>
      </w:r>
      <w:r w:rsidRPr="009F0BAA">
        <w:rPr>
          <w:lang w:val="en-GB"/>
        </w:rPr>
        <w:t>PLN.</w:t>
      </w:r>
      <w:r w:rsidR="00C96B07">
        <w:rPr>
          <w:lang w:val="en-GB"/>
        </w:rPr>
        <w:t xml:space="preserve"> </w:t>
      </w:r>
      <w:r w:rsidRPr="009F0BAA">
        <w:rPr>
          <w:lang w:val="en-GB"/>
        </w:rPr>
        <w:t>The structure of the revenues was composed of: net revenues from sales of products, goods and materials</w:t>
      </w:r>
      <w:r w:rsidR="00421EAC" w:rsidRPr="009F0BAA">
        <w:rPr>
          <w:lang w:val="en-GB"/>
        </w:rPr>
        <w:t xml:space="preserve"> (91.3</w:t>
      </w:r>
      <w:r w:rsidR="00493362" w:rsidRPr="009F0BAA">
        <w:rPr>
          <w:lang w:val="en-GB"/>
        </w:rPr>
        <w:t>%), other operating revenues (8.6</w:t>
      </w:r>
      <w:r w:rsidRPr="009F0BAA">
        <w:rPr>
          <w:lang w:val="en-GB"/>
        </w:rPr>
        <w:t>%) and financial revenues (0.1%)</w:t>
      </w:r>
      <w:r w:rsidRPr="009F0BAA">
        <w:rPr>
          <w:spacing w:val="-1"/>
          <w:lang w:val="en-GB"/>
        </w:rPr>
        <w:t xml:space="preserve">. The highest total revenues were generated by institutions in </w:t>
      </w:r>
      <w:proofErr w:type="spellStart"/>
      <w:r w:rsidR="008F11D0" w:rsidRPr="009F0BAA">
        <w:rPr>
          <w:spacing w:val="-1"/>
          <w:lang w:val="en-GB"/>
        </w:rPr>
        <w:t>Mazowieckie</w:t>
      </w:r>
      <w:proofErr w:type="spellEnd"/>
      <w:r w:rsidR="008F11D0" w:rsidRPr="009F0BAA">
        <w:rPr>
          <w:spacing w:val="-1"/>
          <w:lang w:val="en-GB"/>
        </w:rPr>
        <w:t xml:space="preserve"> V</w:t>
      </w:r>
      <w:r w:rsidR="00493362" w:rsidRPr="009F0BAA">
        <w:rPr>
          <w:spacing w:val="-1"/>
          <w:lang w:val="en-GB"/>
        </w:rPr>
        <w:t>oivodship (25.5</w:t>
      </w:r>
      <w:r w:rsidRPr="009F0BAA">
        <w:rPr>
          <w:spacing w:val="-1"/>
          <w:lang w:val="en-GB"/>
        </w:rPr>
        <w:t>% share).</w:t>
      </w:r>
    </w:p>
    <w:p w14:paraId="065A5F43" w14:textId="519000C9" w:rsidR="00E75063" w:rsidRPr="009F0BAA" w:rsidRDefault="00865BC5" w:rsidP="00E75063">
      <w:pPr>
        <w:rPr>
          <w:spacing w:val="-1"/>
          <w:lang w:val="en-GB"/>
        </w:rPr>
      </w:pPr>
      <w:r w:rsidRPr="009F0BA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4C2A6B32" wp14:editId="791130EA">
                <wp:simplePos x="0" y="0"/>
                <wp:positionH relativeFrom="page">
                  <wp:posOffset>5734050</wp:posOffset>
                </wp:positionH>
                <wp:positionV relativeFrom="paragraph">
                  <wp:posOffset>699135</wp:posOffset>
                </wp:positionV>
                <wp:extent cx="1734820" cy="962025"/>
                <wp:effectExtent l="0" t="0" r="0" b="0"/>
                <wp:wrapTight wrapText="bothSides">
                  <wp:wrapPolygon edited="0">
                    <wp:start x="712" y="0"/>
                    <wp:lineTo x="712" y="20958"/>
                    <wp:lineTo x="20873" y="20958"/>
                    <wp:lineTo x="20873" y="0"/>
                    <wp:lineTo x="712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7C5B" w14:textId="76053D81" w:rsidR="006E54C4" w:rsidRPr="006E54C4" w:rsidRDefault="006E54C4" w:rsidP="006E54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 xml:space="preserve">Total revenues of </w:t>
                            </w:r>
                            <w:proofErr w:type="spellStart"/>
                            <w:r w:rsidRPr="006E54C4">
                              <w:rPr>
                                <w:lang w:val="en-US"/>
                              </w:rPr>
                              <w:t>gminas</w:t>
                            </w:r>
                            <w:proofErr w:type="spellEnd"/>
                            <w:r w:rsidRPr="006E54C4">
                              <w:rPr>
                                <w:lang w:val="en-US"/>
                              </w:rPr>
                              <w:t xml:space="preserve"> local cultural institutions in</w:t>
                            </w:r>
                            <w:r w:rsidR="00E25C43">
                              <w:rPr>
                                <w:lang w:val="en-US"/>
                              </w:rPr>
                              <w:t xml:space="preserve"> the first </w:t>
                            </w:r>
                            <w:r w:rsidR="002D3E25">
                              <w:rPr>
                                <w:lang w:val="en-US"/>
                              </w:rPr>
                              <w:t>quarter</w:t>
                            </w:r>
                            <w:r w:rsidR="00E25C43">
                              <w:rPr>
                                <w:lang w:val="en-US"/>
                              </w:rPr>
                              <w:t xml:space="preserve"> of 2021 amounted to</w:t>
                            </w:r>
                            <w:r w:rsidR="00D0592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E7CC2">
                              <w:rPr>
                                <w:lang w:val="en-US"/>
                              </w:rPr>
                              <w:br/>
                            </w:r>
                            <w:r w:rsidR="00E25C43">
                              <w:rPr>
                                <w:lang w:val="en-US"/>
                              </w:rPr>
                              <w:t>1</w:t>
                            </w:r>
                            <w:r w:rsidR="00215D52">
                              <w:rPr>
                                <w:lang w:val="en-US"/>
                              </w:rPr>
                              <w:t>,</w:t>
                            </w:r>
                            <w:r w:rsidR="00E25C43">
                              <w:rPr>
                                <w:lang w:val="en-US"/>
                              </w:rPr>
                              <w:t>290.1</w:t>
                            </w:r>
                            <w:r w:rsidRPr="006E54C4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illion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6B32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8" type="#_x0000_t202" style="position:absolute;margin-left:451.5pt;margin-top:55.05pt;width:136.6pt;height:75.7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" filled="f" stroked="f">
                <v:textbox>
                  <w:txbxContent>
                    <w:p w14:paraId="3A087C5B" w14:textId="76053D81" w:rsidR="006E54C4" w:rsidRPr="006E54C4" w:rsidRDefault="006E54C4" w:rsidP="006E54C4">
                      <w:pPr>
                        <w:pStyle w:val="tekstzboku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 xml:space="preserve">Total revenues of </w:t>
                      </w:r>
                      <w:proofErr w:type="spellStart"/>
                      <w:r w:rsidRPr="006E54C4">
                        <w:rPr>
                          <w:lang w:val="en-US"/>
                        </w:rPr>
                        <w:t>gminas</w:t>
                      </w:r>
                      <w:proofErr w:type="spellEnd"/>
                      <w:r w:rsidRPr="006E54C4">
                        <w:rPr>
                          <w:lang w:val="en-US"/>
                        </w:rPr>
                        <w:t xml:space="preserve"> local cultural institutions in</w:t>
                      </w:r>
                      <w:r w:rsidR="00E25C43">
                        <w:rPr>
                          <w:lang w:val="en-US"/>
                        </w:rPr>
                        <w:t xml:space="preserve"> the first </w:t>
                      </w:r>
                      <w:r w:rsidR="002D3E25">
                        <w:rPr>
                          <w:lang w:val="en-US"/>
                        </w:rPr>
                        <w:t>quarter</w:t>
                      </w:r>
                      <w:r w:rsidR="00E25C43">
                        <w:rPr>
                          <w:lang w:val="en-US"/>
                        </w:rPr>
                        <w:t xml:space="preserve"> of 2021 amounted to</w:t>
                      </w:r>
                      <w:r w:rsidR="00D0592B">
                        <w:rPr>
                          <w:lang w:val="en-US"/>
                        </w:rPr>
                        <w:t xml:space="preserve"> </w:t>
                      </w:r>
                      <w:r w:rsidR="007E7CC2">
                        <w:rPr>
                          <w:lang w:val="en-US"/>
                        </w:rPr>
                        <w:br/>
                      </w:r>
                      <w:r w:rsidR="00E25C43">
                        <w:rPr>
                          <w:lang w:val="en-US"/>
                        </w:rPr>
                        <w:t>1</w:t>
                      </w:r>
                      <w:r w:rsidR="00215D52">
                        <w:rPr>
                          <w:lang w:val="en-US"/>
                        </w:rPr>
                        <w:t>,</w:t>
                      </w:r>
                      <w:r w:rsidR="00E25C43">
                        <w:rPr>
                          <w:lang w:val="en-US"/>
                        </w:rPr>
                        <w:t>290.1</w:t>
                      </w:r>
                      <w:r w:rsidRPr="006E54C4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illion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5063" w:rsidRPr="009F0BAA">
        <w:rPr>
          <w:iCs/>
          <w:lang w:val="en-GB"/>
        </w:rPr>
        <w:t>Total costs</w:t>
      </w:r>
      <w:r w:rsidR="00DF7F93" w:rsidRPr="009F0BAA">
        <w:rPr>
          <w:lang w:val="en-US"/>
        </w:rPr>
        <w:t xml:space="preserve"> </w:t>
      </w:r>
      <w:r w:rsidR="00DF7F93" w:rsidRPr="009F0BAA">
        <w:rPr>
          <w:lang w:val="en-GB"/>
        </w:rPr>
        <w:t xml:space="preserve">during the </w:t>
      </w:r>
      <w:r w:rsidR="0059080E">
        <w:rPr>
          <w:lang w:val="en-GB"/>
        </w:rPr>
        <w:t>period</w:t>
      </w:r>
      <w:r w:rsidR="00DF7F93" w:rsidRPr="009F0BAA">
        <w:rPr>
          <w:lang w:val="en-GB"/>
        </w:rPr>
        <w:t xml:space="preserve"> considered</w:t>
      </w:r>
      <w:r w:rsidR="0059080E">
        <w:rPr>
          <w:lang w:val="en-GB"/>
        </w:rPr>
        <w:t xml:space="preserve"> were 8.8</w:t>
      </w:r>
      <w:r w:rsidR="00E75063" w:rsidRPr="009F0BAA">
        <w:rPr>
          <w:lang w:val="en-GB"/>
        </w:rPr>
        <w:t xml:space="preserve">% lower than in the previous year </w:t>
      </w:r>
      <w:r w:rsidR="00E75063" w:rsidRPr="009F0BAA">
        <w:rPr>
          <w:spacing w:val="-1"/>
          <w:lang w:val="en-GB"/>
        </w:rPr>
        <w:t>and amounted</w:t>
      </w:r>
      <w:r w:rsidR="00215D52">
        <w:rPr>
          <w:spacing w:val="-5"/>
          <w:lang w:val="en-GB"/>
        </w:rPr>
        <w:t xml:space="preserve"> to 2,</w:t>
      </w:r>
      <w:r w:rsidR="0059080E">
        <w:rPr>
          <w:spacing w:val="-5"/>
          <w:lang w:val="en-GB"/>
        </w:rPr>
        <w:t>023.5</w:t>
      </w:r>
      <w:r w:rsidR="00E75063" w:rsidRPr="009F0BAA">
        <w:rPr>
          <w:spacing w:val="-5"/>
          <w:lang w:val="en-GB"/>
        </w:rPr>
        <w:t xml:space="preserve"> </w:t>
      </w:r>
      <w:r w:rsidR="00E75063" w:rsidRPr="009F0BAA">
        <w:rPr>
          <w:lang w:val="en-GB"/>
        </w:rPr>
        <w:t>million</w:t>
      </w:r>
      <w:r w:rsidR="00E75063" w:rsidRPr="009F0BAA">
        <w:rPr>
          <w:spacing w:val="-7"/>
          <w:lang w:val="en-GB"/>
        </w:rPr>
        <w:t xml:space="preserve"> </w:t>
      </w:r>
      <w:r w:rsidR="00E75063" w:rsidRPr="009F0BAA">
        <w:rPr>
          <w:lang w:val="en-GB"/>
        </w:rPr>
        <w:t>PLN.</w:t>
      </w:r>
      <w:r w:rsidR="00E75063" w:rsidRPr="009F0BAA">
        <w:rPr>
          <w:spacing w:val="-6"/>
          <w:lang w:val="en-GB"/>
        </w:rPr>
        <w:t xml:space="preserve"> </w:t>
      </w:r>
      <w:r w:rsidR="00E75063" w:rsidRPr="009F0BAA">
        <w:rPr>
          <w:lang w:val="en-GB"/>
        </w:rPr>
        <w:t xml:space="preserve">The structure of these costs was composed of: </w:t>
      </w:r>
      <w:r w:rsidR="00E75063" w:rsidRPr="009F0BAA">
        <w:rPr>
          <w:spacing w:val="-4"/>
          <w:lang w:val="en-GB"/>
        </w:rPr>
        <w:t>operating costs (</w:t>
      </w:r>
      <w:r w:rsidR="000F5228">
        <w:rPr>
          <w:spacing w:val="-1"/>
          <w:lang w:val="en-GB"/>
        </w:rPr>
        <w:t>99.4</w:t>
      </w:r>
      <w:r w:rsidR="00E75063" w:rsidRPr="009F0BAA">
        <w:rPr>
          <w:spacing w:val="-1"/>
          <w:lang w:val="en-GB"/>
        </w:rPr>
        <w:t>%)</w:t>
      </w:r>
      <w:r w:rsidR="00E75063" w:rsidRPr="009F0BAA">
        <w:rPr>
          <w:spacing w:val="-4"/>
          <w:lang w:val="en-GB"/>
        </w:rPr>
        <w:t>,</w:t>
      </w:r>
      <w:r w:rsidR="00E75063" w:rsidRPr="009F0BAA">
        <w:rPr>
          <w:spacing w:val="-1"/>
          <w:lang w:val="en-GB"/>
        </w:rPr>
        <w:t xml:space="preserve"> </w:t>
      </w:r>
      <w:r w:rsidR="00E75063" w:rsidRPr="009F0BAA">
        <w:rPr>
          <w:lang w:val="en-GB"/>
        </w:rPr>
        <w:t>other operating costs (</w:t>
      </w:r>
      <w:r w:rsidR="00E25C43" w:rsidRPr="009F0BAA">
        <w:rPr>
          <w:spacing w:val="-7"/>
          <w:lang w:val="en-GB"/>
        </w:rPr>
        <w:t>0.5</w:t>
      </w:r>
      <w:r w:rsidR="00E75063" w:rsidRPr="009F0BAA">
        <w:rPr>
          <w:spacing w:val="-7"/>
          <w:lang w:val="en-GB"/>
        </w:rPr>
        <w:t xml:space="preserve"> </w:t>
      </w:r>
      <w:r w:rsidR="00E75063" w:rsidRPr="009F0BAA">
        <w:rPr>
          <w:lang w:val="en-GB"/>
        </w:rPr>
        <w:t>%)</w:t>
      </w:r>
      <w:r w:rsidR="00E75063" w:rsidRPr="009F0BAA">
        <w:rPr>
          <w:spacing w:val="-1"/>
          <w:lang w:val="en-GB"/>
        </w:rPr>
        <w:t>, financial costs (</w:t>
      </w:r>
      <w:r w:rsidR="00E75063" w:rsidRPr="009F0BAA">
        <w:rPr>
          <w:lang w:val="en-GB"/>
        </w:rPr>
        <w:t>0.1%)</w:t>
      </w:r>
      <w:r w:rsidR="00E75063" w:rsidRPr="009F0BAA">
        <w:rPr>
          <w:spacing w:val="-1"/>
          <w:lang w:val="en-GB"/>
        </w:rPr>
        <w:t xml:space="preserve">. </w:t>
      </w:r>
      <w:r w:rsidR="003379B4">
        <w:rPr>
          <w:spacing w:val="-1"/>
          <w:lang w:val="en-GB"/>
        </w:rPr>
        <w:t>Similarly a</w:t>
      </w:r>
      <w:r w:rsidR="00E75063" w:rsidRPr="009F0BAA">
        <w:rPr>
          <w:spacing w:val="-1"/>
          <w:lang w:val="en-GB"/>
        </w:rPr>
        <w:t xml:space="preserve">s in </w:t>
      </w:r>
      <w:r w:rsidR="003379B4">
        <w:rPr>
          <w:spacing w:val="-1"/>
          <w:lang w:val="en-GB"/>
        </w:rPr>
        <w:t xml:space="preserve">the </w:t>
      </w:r>
      <w:r w:rsidR="00E75063" w:rsidRPr="009F0BAA">
        <w:rPr>
          <w:spacing w:val="-1"/>
          <w:lang w:val="en-GB"/>
        </w:rPr>
        <w:t xml:space="preserve">case of total revenues, the highest total costs were incurred by units from </w:t>
      </w:r>
      <w:proofErr w:type="spellStart"/>
      <w:r w:rsidR="008F11D0" w:rsidRPr="009F0BAA">
        <w:rPr>
          <w:spacing w:val="-1"/>
          <w:lang w:val="en-GB"/>
        </w:rPr>
        <w:t>M</w:t>
      </w:r>
      <w:r w:rsidR="00E75063" w:rsidRPr="009F0BAA">
        <w:rPr>
          <w:spacing w:val="-1"/>
          <w:lang w:val="en-GB"/>
        </w:rPr>
        <w:t>azowieckie</w:t>
      </w:r>
      <w:proofErr w:type="spellEnd"/>
      <w:r w:rsidR="00E75063" w:rsidRPr="009F0BAA">
        <w:rPr>
          <w:spacing w:val="-1"/>
          <w:lang w:val="en-GB"/>
        </w:rPr>
        <w:t xml:space="preserve"> </w:t>
      </w:r>
      <w:r w:rsidR="008F11D0" w:rsidRPr="009F0BAA">
        <w:rPr>
          <w:spacing w:val="-1"/>
          <w:lang w:val="en-GB"/>
        </w:rPr>
        <w:t>V</w:t>
      </w:r>
      <w:r w:rsidR="00DF7F93" w:rsidRPr="009F0BAA">
        <w:rPr>
          <w:spacing w:val="-1"/>
          <w:lang w:val="en-GB"/>
        </w:rPr>
        <w:t>oivodship (24.8</w:t>
      </w:r>
      <w:r w:rsidR="00E75063" w:rsidRPr="009F0BAA">
        <w:rPr>
          <w:spacing w:val="-1"/>
          <w:lang w:val="en-GB"/>
        </w:rPr>
        <w:t>%).</w:t>
      </w:r>
    </w:p>
    <w:p w14:paraId="54054323" w14:textId="4E2A7CFE" w:rsidR="00E75063" w:rsidRDefault="00E75063" w:rsidP="00E75063">
      <w:pPr>
        <w:pStyle w:val="LID"/>
        <w:rPr>
          <w:b w:val="0"/>
          <w:spacing w:val="-1"/>
          <w:lang w:val="en-GB"/>
        </w:rPr>
      </w:pPr>
      <w:r w:rsidRPr="009F0BAA">
        <w:rPr>
          <w:b w:val="0"/>
          <w:spacing w:val="-1"/>
          <w:lang w:val="en-GB"/>
        </w:rPr>
        <w:t xml:space="preserve">National cultural institutions </w:t>
      </w:r>
      <w:r w:rsidR="00E25C43" w:rsidRPr="009F0BAA">
        <w:rPr>
          <w:b w:val="0"/>
          <w:spacing w:val="-1"/>
          <w:lang w:val="en-GB"/>
        </w:rPr>
        <w:t xml:space="preserve">in </w:t>
      </w:r>
      <w:r w:rsidR="00C96B07">
        <w:rPr>
          <w:b w:val="0"/>
          <w:spacing w:val="-1"/>
          <w:lang w:val="en-GB"/>
        </w:rPr>
        <w:t xml:space="preserve">the </w:t>
      </w:r>
      <w:r w:rsidR="00E25C43" w:rsidRPr="009F0BAA">
        <w:rPr>
          <w:b w:val="0"/>
          <w:spacing w:val="-1"/>
          <w:lang w:val="en-GB"/>
        </w:rPr>
        <w:t xml:space="preserve">first </w:t>
      </w:r>
      <w:r w:rsidR="002D3E25" w:rsidRPr="009F0BAA">
        <w:rPr>
          <w:b w:val="0"/>
          <w:spacing w:val="-1"/>
          <w:lang w:val="en-GB"/>
        </w:rPr>
        <w:t>quarter</w:t>
      </w:r>
      <w:r w:rsidR="00E25C43" w:rsidRPr="009F0BAA">
        <w:rPr>
          <w:b w:val="0"/>
          <w:spacing w:val="-1"/>
          <w:lang w:val="en-GB"/>
        </w:rPr>
        <w:t xml:space="preserve"> of 2021, </w:t>
      </w:r>
      <w:r w:rsidRPr="009F0BAA">
        <w:rPr>
          <w:b w:val="0"/>
          <w:spacing w:val="-1"/>
          <w:lang w:val="en-GB"/>
        </w:rPr>
        <w:t>achieved</w:t>
      </w:r>
      <w:r w:rsidRPr="009F0BAA">
        <w:rPr>
          <w:b w:val="0"/>
          <w:spacing w:val="-2"/>
          <w:lang w:val="en-GB"/>
        </w:rPr>
        <w:t xml:space="preserve"> </w:t>
      </w:r>
      <w:r w:rsidR="00E25C43" w:rsidRPr="009F0BAA">
        <w:rPr>
          <w:b w:val="0"/>
          <w:spacing w:val="-1"/>
          <w:lang w:val="en-GB"/>
        </w:rPr>
        <w:t>total revenues of 382.7</w:t>
      </w:r>
      <w:r w:rsidRPr="009F0BAA">
        <w:rPr>
          <w:b w:val="0"/>
          <w:spacing w:val="-1"/>
          <w:lang w:val="en-GB"/>
        </w:rPr>
        <w:t xml:space="preserve"> million</w:t>
      </w:r>
      <w:r w:rsidR="008F11D0" w:rsidRPr="009F0BAA">
        <w:rPr>
          <w:b w:val="0"/>
          <w:spacing w:val="-1"/>
          <w:lang w:val="en-GB"/>
        </w:rPr>
        <w:t xml:space="preserve"> PLN</w:t>
      </w:r>
      <w:r w:rsidRPr="009F0BAA">
        <w:rPr>
          <w:b w:val="0"/>
          <w:spacing w:val="-1"/>
          <w:lang w:val="en-GB"/>
        </w:rPr>
        <w:t xml:space="preserve">, while total revenues of local government units amounted to </w:t>
      </w:r>
      <w:r w:rsidR="00E25C43" w:rsidRPr="009F0BAA">
        <w:rPr>
          <w:b w:val="0"/>
          <w:spacing w:val="-1"/>
          <w:lang w:val="en-GB"/>
        </w:rPr>
        <w:t>1</w:t>
      </w:r>
      <w:r w:rsidR="00215D52">
        <w:rPr>
          <w:b w:val="0"/>
          <w:spacing w:val="-1"/>
          <w:lang w:val="en-GB"/>
        </w:rPr>
        <w:t>,</w:t>
      </w:r>
      <w:r w:rsidR="00E25C43" w:rsidRPr="009F0BAA">
        <w:rPr>
          <w:b w:val="0"/>
          <w:spacing w:val="-1"/>
          <w:lang w:val="en-GB"/>
        </w:rPr>
        <w:t>846.6</w:t>
      </w:r>
      <w:r w:rsidR="008F11D0" w:rsidRPr="009F0BAA">
        <w:rPr>
          <w:b w:val="0"/>
          <w:spacing w:val="-1"/>
          <w:lang w:val="en-GB"/>
        </w:rPr>
        <w:t xml:space="preserve"> </w:t>
      </w:r>
      <w:r w:rsidRPr="009F0BAA">
        <w:rPr>
          <w:b w:val="0"/>
          <w:spacing w:val="-1"/>
          <w:lang w:val="en-GB"/>
        </w:rPr>
        <w:t xml:space="preserve">million </w:t>
      </w:r>
      <w:r w:rsidR="008F11D0" w:rsidRPr="009F0BAA">
        <w:rPr>
          <w:b w:val="0"/>
          <w:spacing w:val="-1"/>
          <w:lang w:val="en-GB"/>
        </w:rPr>
        <w:t xml:space="preserve">PLN </w:t>
      </w:r>
      <w:r w:rsidRPr="009F0BAA">
        <w:rPr>
          <w:b w:val="0"/>
          <w:spacing w:val="-1"/>
          <w:lang w:val="en-GB"/>
        </w:rPr>
        <w:t>(in</w:t>
      </w:r>
      <w:r w:rsidR="00E25C43" w:rsidRPr="009F0BAA">
        <w:rPr>
          <w:b w:val="0"/>
          <w:spacing w:val="-1"/>
          <w:lang w:val="en-GB"/>
        </w:rPr>
        <w:t xml:space="preserve"> the first </w:t>
      </w:r>
      <w:r w:rsidR="002D3E25" w:rsidRPr="009F0BAA">
        <w:rPr>
          <w:b w:val="0"/>
          <w:spacing w:val="-1"/>
          <w:lang w:val="en-GB"/>
        </w:rPr>
        <w:t>quarter</w:t>
      </w:r>
      <w:r w:rsidR="00E25C43" w:rsidRPr="009F0BAA">
        <w:rPr>
          <w:b w:val="0"/>
          <w:spacing w:val="-1"/>
          <w:lang w:val="en-GB"/>
        </w:rPr>
        <w:t xml:space="preserve"> of 2020</w:t>
      </w:r>
      <w:r w:rsidRPr="009F0BAA">
        <w:rPr>
          <w:b w:val="0"/>
          <w:spacing w:val="-1"/>
          <w:lang w:val="en-GB"/>
        </w:rPr>
        <w:t xml:space="preserve">: </w:t>
      </w:r>
      <w:r w:rsidR="00E25C43" w:rsidRPr="009F0BAA">
        <w:rPr>
          <w:b w:val="0"/>
          <w:spacing w:val="-1"/>
          <w:lang w:val="en-GB"/>
        </w:rPr>
        <w:t>405.7</w:t>
      </w:r>
      <w:r w:rsidR="00666D40" w:rsidRPr="009F0BAA">
        <w:rPr>
          <w:b w:val="0"/>
          <w:spacing w:val="-1"/>
          <w:lang w:val="en-GB"/>
        </w:rPr>
        <w:t xml:space="preserve"> </w:t>
      </w:r>
      <w:r w:rsidRPr="009F0BAA">
        <w:rPr>
          <w:b w:val="0"/>
          <w:spacing w:val="-1"/>
          <w:lang w:val="en-GB"/>
        </w:rPr>
        <w:t xml:space="preserve">million </w:t>
      </w:r>
      <w:r w:rsidR="008F11D0" w:rsidRPr="009F0BAA">
        <w:rPr>
          <w:b w:val="0"/>
          <w:spacing w:val="-1"/>
          <w:lang w:val="en-GB"/>
        </w:rPr>
        <w:t xml:space="preserve">PLN </w:t>
      </w:r>
      <w:r w:rsidRPr="009F0BAA">
        <w:rPr>
          <w:b w:val="0"/>
          <w:spacing w:val="-1"/>
          <w:lang w:val="en-GB"/>
        </w:rPr>
        <w:t xml:space="preserve">and </w:t>
      </w:r>
      <w:r w:rsidR="00215D52">
        <w:rPr>
          <w:b w:val="0"/>
          <w:spacing w:val="-1"/>
          <w:lang w:val="en-GB"/>
        </w:rPr>
        <w:t>2,</w:t>
      </w:r>
      <w:r w:rsidR="00E25C43" w:rsidRPr="009F0BAA">
        <w:rPr>
          <w:b w:val="0"/>
          <w:spacing w:val="-1"/>
          <w:lang w:val="en-GB"/>
        </w:rPr>
        <w:t>055.7</w:t>
      </w:r>
      <w:r w:rsidR="00666D40" w:rsidRPr="009F0BAA">
        <w:rPr>
          <w:b w:val="0"/>
          <w:spacing w:val="-1"/>
          <w:lang w:val="en-GB"/>
        </w:rPr>
        <w:t xml:space="preserve"> </w:t>
      </w:r>
      <w:r w:rsidRPr="009F0BAA">
        <w:rPr>
          <w:b w:val="0"/>
          <w:spacing w:val="-1"/>
          <w:lang w:val="en-GB"/>
        </w:rPr>
        <w:t>million</w:t>
      </w:r>
      <w:r w:rsidR="008F11D0" w:rsidRPr="009F0BAA">
        <w:rPr>
          <w:b w:val="0"/>
          <w:spacing w:val="-1"/>
          <w:lang w:val="en-GB"/>
        </w:rPr>
        <w:t xml:space="preserve"> PLN</w:t>
      </w:r>
      <w:r w:rsidRPr="009F0BAA">
        <w:rPr>
          <w:b w:val="0"/>
          <w:spacing w:val="-1"/>
          <w:lang w:val="en-GB"/>
        </w:rPr>
        <w:t>, respectively)</w:t>
      </w:r>
      <w:r w:rsidR="00AC2485" w:rsidRPr="009F0BAA">
        <w:rPr>
          <w:b w:val="0"/>
          <w:spacing w:val="-1"/>
          <w:lang w:val="en-GB"/>
        </w:rPr>
        <w:t>.</w:t>
      </w:r>
    </w:p>
    <w:p w14:paraId="2FB3ADAE" w14:textId="77777777" w:rsidR="00AC2485" w:rsidRPr="00A14039" w:rsidRDefault="00AC2485" w:rsidP="00E75063">
      <w:pPr>
        <w:pStyle w:val="LID"/>
        <w:rPr>
          <w:b w:val="0"/>
          <w:lang w:val="en-GB"/>
        </w:rPr>
      </w:pPr>
    </w:p>
    <w:p w14:paraId="06741E1B" w14:textId="5375A213" w:rsidR="00AC2485" w:rsidRPr="008563DC" w:rsidRDefault="00AC2485" w:rsidP="00AC2485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  <w:lang w:val="en-US"/>
        </w:rPr>
      </w:pPr>
      <w:r w:rsidRPr="008563DC">
        <w:rPr>
          <w:b/>
          <w:bCs/>
          <w:spacing w:val="-2"/>
          <w:sz w:val="18"/>
          <w:szCs w:val="18"/>
          <w:lang w:val="en-US"/>
        </w:rPr>
        <w:t>Table</w:t>
      </w:r>
      <w:r w:rsidRPr="008563DC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8563DC">
        <w:rPr>
          <w:b/>
          <w:bCs/>
          <w:spacing w:val="-1"/>
          <w:sz w:val="18"/>
          <w:szCs w:val="18"/>
          <w:lang w:val="en-US"/>
        </w:rPr>
        <w:t>1.</w:t>
      </w:r>
      <w:r w:rsidRPr="008563DC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8563DC">
        <w:rPr>
          <w:b/>
          <w:bCs/>
          <w:spacing w:val="-2"/>
          <w:sz w:val="18"/>
          <w:szCs w:val="18"/>
          <w:lang w:val="en-US"/>
        </w:rPr>
        <w:t>Financial results of cultural institutions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E75063" w:rsidRPr="00A14039" w14:paraId="59113E5E" w14:textId="77777777" w:rsidTr="009D288D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7A449094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</w:pPr>
          </w:p>
          <w:p w14:paraId="336B7DF8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CC64D7" w14:textId="53CBC119" w:rsidR="00E75063" w:rsidRPr="00A14039" w:rsidRDefault="00E83234" w:rsidP="009D288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Jan-Mar</w:t>
            </w:r>
            <w:r w:rsidR="00E75063" w:rsidRPr="00A14039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D0592B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456C76" w14:textId="1D789955" w:rsidR="00E75063" w:rsidRPr="00A14039" w:rsidRDefault="00E83234" w:rsidP="009D288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Jan-Mar</w:t>
            </w:r>
            <w:r w:rsidR="00E75063" w:rsidRPr="00A14039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D0592B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335EDB56" w14:textId="7594A7F1" w:rsidR="00E75063" w:rsidRPr="00A14039" w:rsidRDefault="00E83234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Jan-Mar</w:t>
            </w:r>
            <w:r w:rsidR="00D0592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2020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=100</w:t>
            </w:r>
          </w:p>
        </w:tc>
      </w:tr>
      <w:tr w:rsidR="00E75063" w:rsidRPr="00A14039" w14:paraId="1535EA52" w14:textId="77777777" w:rsidTr="009D288D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05928AF9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  <w:lang w:val="en-GB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61EA185E" w14:textId="5B6D0D59" w:rsidR="00E75063" w:rsidRPr="00A14039" w:rsidRDefault="00E25592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i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n </w:t>
            </w:r>
            <w:r w:rsidR="00A61932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million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PLN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6CB5CAE7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  <w:lang w:val="en-GB"/>
              </w:rPr>
            </w:pPr>
          </w:p>
        </w:tc>
      </w:tr>
      <w:tr w:rsidR="00AC1D67" w:rsidRPr="00A14039" w14:paraId="5044C7EE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06AFC91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revenues 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3682A08" w14:textId="340BC911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FE55C3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461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E214933" w14:textId="3F193984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FE55C3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229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0210A2" w14:textId="45C04E0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90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AC1D67" w:rsidRPr="00A14039" w14:paraId="6C39E199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9B6CE53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costs 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5163053" w14:textId="6C332C0D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FE55C3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219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F48C8D3" w14:textId="34A46955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FE55C3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023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64D3D6A" w14:textId="2269AEC3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91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AC1D67" w:rsidRPr="00A14039" w14:paraId="6AE79313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3909F79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E42A638" w14:textId="4B6220E4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242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EF9433" w14:textId="0E94B18F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205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B154AE9" w14:textId="796C6F8C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85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AC1D67" w:rsidRPr="00A14039" w14:paraId="5C32C53C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1023637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CE6AEA0" w14:textId="50003B54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241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8C61761" w14:textId="33F0EDE4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205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27BA342" w14:textId="3CE31EA4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85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AC1D67" w:rsidRPr="00A14039" w14:paraId="7A3C4F26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C579B9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CDB8068" w14:textId="701B591C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283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BD9D339" w14:textId="643677B6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268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E890973" w14:textId="189B7ABB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94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AC1D67" w:rsidRPr="00A14039" w14:paraId="3BA09EB0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6B564DB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8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7EB0FBC" w14:textId="1FC003D8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41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FC7619B" w14:textId="246039E1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63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F86DFF" w14:textId="1A99405C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150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AC1D67" w:rsidRPr="00A14039" w14:paraId="7EF4D06B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BF4919E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Investment outlays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0831F69" w14:textId="0446D82D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203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158BDCA" w14:textId="2CDFE62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168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4759C2B" w14:textId="248D3BAA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82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AC1D67" w:rsidRPr="00A14039" w14:paraId="33F69583" w14:textId="77777777" w:rsidTr="00D75BB2">
        <w:trPr>
          <w:cantSplit/>
          <w:trHeight w:val="326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6099758F" w14:textId="77777777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left="10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Outlays on intangible fixed </w:t>
            </w:r>
          </w:p>
          <w:p w14:paraId="0092EAAF" w14:textId="04A57C27" w:rsidR="00AC1D67" w:rsidRPr="00D75BB2" w:rsidRDefault="00AC1D67" w:rsidP="00AC1D67">
            <w:pPr>
              <w:pStyle w:val="TableParagraph"/>
              <w:kinsoku w:val="0"/>
              <w:overflowPunct w:val="0"/>
              <w:ind w:left="107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assets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1F41DB45" w14:textId="5936A5E6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3C85B98A" w14:textId="20874ACA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3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712BAF72" w14:textId="014CDFE2" w:rsidR="00AC1D67" w:rsidRPr="00A14039" w:rsidRDefault="00AC1D67" w:rsidP="00AC1D67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</w:rPr>
              <w:t>144</w:t>
            </w:r>
            <w:r w:rsidR="00C96B0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</w:tbl>
    <w:p w14:paraId="15D2880D" w14:textId="1F2B81CB" w:rsidR="00E75063" w:rsidRPr="00A14039" w:rsidRDefault="00E75063" w:rsidP="00E75063">
      <w:pPr>
        <w:spacing w:before="360"/>
        <w:rPr>
          <w:rFonts w:cs="Fira Sans"/>
          <w:szCs w:val="19"/>
          <w:lang w:val="en-GB"/>
        </w:rPr>
      </w:pPr>
      <w:r w:rsidRPr="009F0BAA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85843D8" wp14:editId="1D2FB3E0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30A7" w14:textId="3B592CEE" w:rsidR="00E75063" w:rsidRPr="00204941" w:rsidRDefault="00E75063" w:rsidP="00E75063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</w:t>
                            </w:r>
                            <w:r w:rsidR="00AC1D67">
                              <w:rPr>
                                <w:lang w:val="en-US"/>
                              </w:rPr>
                              <w:t xml:space="preserve">the first </w:t>
                            </w:r>
                            <w:r w:rsidR="002D3E25">
                              <w:rPr>
                                <w:lang w:val="en-US"/>
                              </w:rPr>
                              <w:t>quarter</w:t>
                            </w:r>
                            <w:r w:rsidR="00AC1D67">
                              <w:rPr>
                                <w:lang w:val="en-US"/>
                              </w:rPr>
                              <w:t xml:space="preserve"> of </w:t>
                            </w:r>
                            <w:r w:rsidRPr="00983792">
                              <w:rPr>
                                <w:lang w:val="en-US"/>
                              </w:rPr>
                              <w:t>20</w:t>
                            </w:r>
                            <w:r w:rsidR="00AC1D67">
                              <w:rPr>
                                <w:lang w:val="en-US"/>
                              </w:rPr>
                              <w:t>21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 w:rsidR="00AC1D67">
                              <w:rPr>
                                <w:lang w:val="en-US"/>
                              </w:rPr>
                              <w:t xml:space="preserve"> 205</w:t>
                            </w:r>
                            <w:r w:rsidR="00AC2485">
                              <w:rPr>
                                <w:lang w:val="en-US"/>
                              </w:rPr>
                              <w:t>.</w:t>
                            </w:r>
                            <w:r w:rsidR="00AC1D67">
                              <w:rPr>
                                <w:lang w:val="en-US"/>
                              </w:rPr>
                              <w:t>5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43D8" id="Pole tekstowe 62" o:spid="_x0000_s1029" type="#_x0000_t202" style="position:absolute;margin-left:413.6pt;margin-top:8.35pt;width:135.85pt;height:84.9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37B130A7" w14:textId="3B592CEE" w:rsidR="00E75063" w:rsidRPr="00204941" w:rsidRDefault="00E75063" w:rsidP="00E75063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</w:t>
                      </w:r>
                      <w:r w:rsidR="00AC1D67">
                        <w:rPr>
                          <w:lang w:val="en-US"/>
                        </w:rPr>
                        <w:t xml:space="preserve">the first </w:t>
                      </w:r>
                      <w:r w:rsidR="002D3E25">
                        <w:rPr>
                          <w:lang w:val="en-US"/>
                        </w:rPr>
                        <w:t>quarter</w:t>
                      </w:r>
                      <w:r w:rsidR="00AC1D67">
                        <w:rPr>
                          <w:lang w:val="en-US"/>
                        </w:rPr>
                        <w:t xml:space="preserve"> of </w:t>
                      </w:r>
                      <w:r w:rsidRPr="00983792">
                        <w:rPr>
                          <w:lang w:val="en-US"/>
                        </w:rPr>
                        <w:t>20</w:t>
                      </w:r>
                      <w:r w:rsidR="00AC1D67">
                        <w:rPr>
                          <w:lang w:val="en-US"/>
                        </w:rPr>
                        <w:t>21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 w:rsidR="00AC1D67">
                        <w:rPr>
                          <w:lang w:val="en-US"/>
                        </w:rPr>
                        <w:t xml:space="preserve"> 205</w:t>
                      </w:r>
                      <w:r w:rsidR="00AC2485">
                        <w:rPr>
                          <w:lang w:val="en-US"/>
                        </w:rPr>
                        <w:t>.</w:t>
                      </w:r>
                      <w:r w:rsidR="00AC1D67">
                        <w:rPr>
                          <w:lang w:val="en-US"/>
                        </w:rPr>
                        <w:t>5</w:t>
                      </w:r>
                      <w:r w:rsidRPr="00204941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F0BAA">
        <w:rPr>
          <w:rFonts w:cs="Fira Sans"/>
          <w:szCs w:val="19"/>
          <w:lang w:val="en-GB"/>
        </w:rPr>
        <w:t>Gross</w:t>
      </w:r>
      <w:r w:rsidR="00533D59" w:rsidRPr="009F0BAA">
        <w:rPr>
          <w:rFonts w:cs="Fira Sans"/>
          <w:szCs w:val="19"/>
          <w:lang w:val="en-GB"/>
        </w:rPr>
        <w:t xml:space="preserve"> financial result amounted to 205.8</w:t>
      </w:r>
      <w:r w:rsidRPr="009F0BAA">
        <w:rPr>
          <w:rFonts w:cs="Fira Sans"/>
          <w:szCs w:val="19"/>
          <w:lang w:val="en-GB"/>
        </w:rPr>
        <w:t xml:space="preserve"> million </w:t>
      </w:r>
      <w:r w:rsidR="002F3202" w:rsidRPr="009F0BAA">
        <w:rPr>
          <w:rFonts w:cs="Fira Sans"/>
          <w:szCs w:val="19"/>
          <w:lang w:val="en-GB"/>
        </w:rPr>
        <w:t>PLN (profit 268</w:t>
      </w:r>
      <w:r w:rsidR="00533D59" w:rsidRPr="009F0BAA">
        <w:rPr>
          <w:rFonts w:cs="Fira Sans"/>
          <w:szCs w:val="19"/>
          <w:lang w:val="en-GB"/>
        </w:rPr>
        <w:t>.</w:t>
      </w:r>
      <w:r w:rsidR="002F3202" w:rsidRPr="009F0BAA">
        <w:rPr>
          <w:rFonts w:cs="Fira Sans"/>
          <w:szCs w:val="19"/>
          <w:lang w:val="en-GB"/>
        </w:rPr>
        <w:t>6</w:t>
      </w:r>
      <w:r w:rsidR="00533D59" w:rsidRPr="009F0BAA">
        <w:rPr>
          <w:rFonts w:cs="Fira Sans"/>
          <w:szCs w:val="19"/>
          <w:lang w:val="en-GB"/>
        </w:rPr>
        <w:t xml:space="preserve"> million PLN, loss 62.8</w:t>
      </w:r>
      <w:r w:rsidRPr="009F0BAA">
        <w:rPr>
          <w:rFonts w:cs="Fira Sans"/>
          <w:szCs w:val="19"/>
          <w:lang w:val="en-GB"/>
        </w:rPr>
        <w:t xml:space="preserve"> million PLN)</w:t>
      </w:r>
      <w:r w:rsidRPr="00A14039">
        <w:rPr>
          <w:rFonts w:cs="Fira Sans"/>
          <w:szCs w:val="19"/>
          <w:lang w:val="en-GB"/>
        </w:rPr>
        <w:t>.</w:t>
      </w:r>
    </w:p>
    <w:p w14:paraId="48BA1CCF" w14:textId="7D3592ED" w:rsidR="00E75063" w:rsidRPr="009F0BAA" w:rsidRDefault="00E75063" w:rsidP="00E75063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 w:rsidRPr="009F0BAA">
        <w:rPr>
          <w:lang w:val="en-GB"/>
        </w:rPr>
        <w:t xml:space="preserve">Net financial result amounted to </w:t>
      </w:r>
      <w:r w:rsidR="002F3202" w:rsidRPr="009F0BAA">
        <w:rPr>
          <w:spacing w:val="-1"/>
          <w:lang w:val="en-GB"/>
        </w:rPr>
        <w:t>205.5</w:t>
      </w:r>
      <w:r w:rsidRPr="009F0BAA">
        <w:rPr>
          <w:spacing w:val="-4"/>
          <w:lang w:val="en-GB"/>
        </w:rPr>
        <w:t xml:space="preserve"> </w:t>
      </w:r>
      <w:r w:rsidRPr="009F0BAA">
        <w:rPr>
          <w:lang w:val="en-GB"/>
        </w:rPr>
        <w:t>million</w:t>
      </w:r>
      <w:r w:rsidRPr="009F0BAA">
        <w:rPr>
          <w:spacing w:val="-6"/>
          <w:lang w:val="en-GB"/>
        </w:rPr>
        <w:t xml:space="preserve"> </w:t>
      </w:r>
      <w:r w:rsidRPr="009F0BAA">
        <w:rPr>
          <w:lang w:val="en-GB"/>
        </w:rPr>
        <w:t>PLN</w:t>
      </w:r>
      <w:r w:rsidRPr="009F0BAA">
        <w:rPr>
          <w:spacing w:val="-5"/>
          <w:lang w:val="en-GB"/>
        </w:rPr>
        <w:t xml:space="preserve"> </w:t>
      </w:r>
      <w:r w:rsidR="002F3202" w:rsidRPr="009F0BAA">
        <w:rPr>
          <w:spacing w:val="-1"/>
          <w:lang w:val="en-GB"/>
        </w:rPr>
        <w:t>(241</w:t>
      </w:r>
      <w:r w:rsidRPr="009F0BAA">
        <w:rPr>
          <w:spacing w:val="-1"/>
          <w:lang w:val="en-GB"/>
        </w:rPr>
        <w:t>.8</w:t>
      </w:r>
      <w:r w:rsidRPr="009F0BAA">
        <w:rPr>
          <w:spacing w:val="-6"/>
          <w:lang w:val="en-GB"/>
        </w:rPr>
        <w:t xml:space="preserve"> </w:t>
      </w:r>
      <w:r w:rsidRPr="009F0BAA">
        <w:rPr>
          <w:lang w:val="en-GB"/>
        </w:rPr>
        <w:t>million</w:t>
      </w:r>
      <w:r w:rsidRPr="009F0BAA">
        <w:rPr>
          <w:spacing w:val="-6"/>
          <w:lang w:val="en-GB"/>
        </w:rPr>
        <w:t xml:space="preserve"> </w:t>
      </w:r>
      <w:r w:rsidRPr="009F0BAA">
        <w:rPr>
          <w:lang w:val="en-GB"/>
        </w:rPr>
        <w:t>PLN</w:t>
      </w:r>
      <w:r w:rsidRPr="009F0BAA">
        <w:rPr>
          <w:spacing w:val="-5"/>
          <w:lang w:val="en-GB"/>
        </w:rPr>
        <w:t xml:space="preserve"> in the </w:t>
      </w:r>
      <w:r w:rsidRPr="009F0BAA">
        <w:rPr>
          <w:spacing w:val="-1"/>
          <w:lang w:val="en-GB"/>
        </w:rPr>
        <w:t>previous year),</w:t>
      </w:r>
      <w:r w:rsidRPr="009F0BAA">
        <w:rPr>
          <w:spacing w:val="-6"/>
          <w:lang w:val="en-GB"/>
        </w:rPr>
        <w:t xml:space="preserve"> </w:t>
      </w:r>
      <w:r w:rsidR="00551CE6" w:rsidRPr="009F0BAA">
        <w:rPr>
          <w:spacing w:val="-1"/>
          <w:lang w:val="en-GB"/>
        </w:rPr>
        <w:t>with a de</w:t>
      </w:r>
      <w:r w:rsidRPr="009F0BAA">
        <w:rPr>
          <w:spacing w:val="-1"/>
          <w:lang w:val="en-GB"/>
        </w:rPr>
        <w:t>crease of net profit</w:t>
      </w:r>
      <w:r w:rsidRPr="009F0BAA">
        <w:rPr>
          <w:spacing w:val="-5"/>
          <w:lang w:val="en-GB"/>
        </w:rPr>
        <w:t xml:space="preserve"> </w:t>
      </w:r>
      <w:r w:rsidRPr="009F0BAA">
        <w:rPr>
          <w:lang w:val="en-GB"/>
        </w:rPr>
        <w:t>(by</w:t>
      </w:r>
      <w:r w:rsidR="00551CE6" w:rsidRPr="009F0BAA">
        <w:rPr>
          <w:spacing w:val="-3"/>
          <w:lang w:val="en-GB"/>
        </w:rPr>
        <w:t xml:space="preserve"> 5.3</w:t>
      </w:r>
      <w:r w:rsidRPr="009F0BAA">
        <w:rPr>
          <w:spacing w:val="-1"/>
          <w:lang w:val="en-GB"/>
        </w:rPr>
        <w:t>%)</w:t>
      </w:r>
      <w:r w:rsidR="00551CE6" w:rsidRPr="009F0BAA">
        <w:rPr>
          <w:spacing w:val="-4"/>
          <w:lang w:val="en-GB"/>
        </w:rPr>
        <w:t xml:space="preserve"> and in</w:t>
      </w:r>
      <w:r w:rsidRPr="009F0BAA">
        <w:rPr>
          <w:spacing w:val="-4"/>
          <w:lang w:val="en-GB"/>
        </w:rPr>
        <w:t>crease of</w:t>
      </w:r>
      <w:r w:rsidRPr="009F0BAA">
        <w:rPr>
          <w:lang w:val="en-GB"/>
        </w:rPr>
        <w:t xml:space="preserve"> net loss (by</w:t>
      </w:r>
      <w:r w:rsidRPr="009F0BAA">
        <w:rPr>
          <w:spacing w:val="-4"/>
          <w:lang w:val="en-GB"/>
        </w:rPr>
        <w:t xml:space="preserve"> </w:t>
      </w:r>
      <w:r w:rsidRPr="009F0BAA">
        <w:rPr>
          <w:spacing w:val="-1"/>
          <w:lang w:val="en-GB"/>
        </w:rPr>
        <w:t>5</w:t>
      </w:r>
      <w:r w:rsidR="00551CE6" w:rsidRPr="009F0BAA">
        <w:rPr>
          <w:spacing w:val="-1"/>
          <w:lang w:val="en-GB"/>
        </w:rPr>
        <w:t>0.9</w:t>
      </w:r>
      <w:r w:rsidRPr="009F0BAA">
        <w:rPr>
          <w:spacing w:val="-1"/>
          <w:lang w:val="en-GB"/>
        </w:rPr>
        <w:t>%).</w:t>
      </w:r>
    </w:p>
    <w:p w14:paraId="26F012FC" w14:textId="03CF0BCA" w:rsidR="00E75063" w:rsidRPr="009F0BAA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In </w:t>
      </w:r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 xml:space="preserve">the first 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>quarter</w:t>
      </w:r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 xml:space="preserve"> of </w:t>
      </w:r>
      <w:r w:rsidR="00B93952">
        <w:rPr>
          <w:rFonts w:eastAsia="Times New Roman" w:cs="Fira Sans"/>
          <w:spacing w:val="-1"/>
          <w:szCs w:val="19"/>
          <w:lang w:val="en-GB" w:eastAsia="pl-PL"/>
        </w:rPr>
        <w:t>2021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investment outlays of cultura</w:t>
      </w:r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>l institutions amounted to 168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.</w:t>
      </w:r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>5 million PLN and were 17.4% lowe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r compared to the previous year. The greatest share in investment outlays had cultural institutions in </w:t>
      </w:r>
      <w:proofErr w:type="spellStart"/>
      <w:r w:rsidR="008F11D0" w:rsidRPr="009F0BAA">
        <w:rPr>
          <w:rFonts w:eastAsia="Times New Roman" w:cs="Fira Sans"/>
          <w:spacing w:val="-1"/>
          <w:szCs w:val="19"/>
          <w:lang w:val="en-GB" w:eastAsia="pl-PL"/>
        </w:rPr>
        <w:t>M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azowieckie</w:t>
      </w:r>
      <w:proofErr w:type="spellEnd"/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F11D0" w:rsidRPr="009F0BAA">
        <w:rPr>
          <w:rFonts w:eastAsia="Times New Roman" w:cs="Fira Sans"/>
          <w:spacing w:val="-1"/>
          <w:szCs w:val="19"/>
          <w:lang w:val="en-GB" w:eastAsia="pl-PL"/>
        </w:rPr>
        <w:t>V</w:t>
      </w:r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>oivodship (28.5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%).</w:t>
      </w:r>
    </w:p>
    <w:p w14:paraId="63150298" w14:textId="774927C8" w:rsidR="00E75063" w:rsidRPr="009F0BAA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9F0BAA">
        <w:rPr>
          <w:rFonts w:eastAsia="Times New Roman" w:cs="Fira Sans"/>
          <w:spacing w:val="-1"/>
          <w:szCs w:val="19"/>
          <w:lang w:val="en-GB" w:eastAsia="pl-PL"/>
        </w:rPr>
        <w:t>Investment outlays incurred by local government cult</w:t>
      </w:r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>ural institutions amounted to 113.7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million</w:t>
      </w:r>
      <w:r w:rsidR="008F11D0" w:rsidRPr="009F0BAA">
        <w:rPr>
          <w:rFonts w:eastAsia="Times New Roman" w:cs="Fira Sans"/>
          <w:spacing w:val="-1"/>
          <w:szCs w:val="19"/>
          <w:lang w:val="en-GB" w:eastAsia="pl-PL"/>
        </w:rPr>
        <w:t xml:space="preserve"> PLN</w:t>
      </w:r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 xml:space="preserve">, </w:t>
      </w:r>
      <w:proofErr w:type="spellStart"/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 w:rsidR="00DB4DB8" w:rsidRPr="009F0BAA">
        <w:rPr>
          <w:rFonts w:eastAsia="Times New Roman" w:cs="Fira Sans"/>
          <w:spacing w:val="-1"/>
          <w:szCs w:val="19"/>
          <w:lang w:val="en-GB" w:eastAsia="pl-PL"/>
        </w:rPr>
        <w:t xml:space="preserve"> 67.5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% of the total amount of investment outlays</w:t>
      </w:r>
      <w:r w:rsidR="00C96B07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461265A1" w14:textId="181E64A0" w:rsidR="00865BC5" w:rsidRDefault="00BF0FC9" w:rsidP="00865BC5">
      <w:pPr>
        <w:spacing w:after="0"/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lastRenderedPageBreak/>
        <w:t>Chart 1. The structure of investment outlays of cultural institutions by legal form</w:t>
      </w:r>
      <w:r w:rsidR="00666D40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s</w:t>
      </w:r>
      <w:r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</w:t>
      </w:r>
      <w:r w:rsidR="00666D40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in </w:t>
      </w:r>
      <w:r w:rsidR="00AA5033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the first </w:t>
      </w:r>
    </w:p>
    <w:p w14:paraId="38117223" w14:textId="0FC04E9B" w:rsidR="00BF0FC9" w:rsidRDefault="00865BC5" w:rsidP="00865BC5">
      <w:pPr>
        <w:spacing w:before="0"/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06AB358C" wp14:editId="47F8C39C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5039995" cy="289052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               </w:t>
      </w:r>
      <w:r w:rsidR="00AA5033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quarter of 2021</w:t>
      </w:r>
    </w:p>
    <w:p w14:paraId="1054784B" w14:textId="6665895A" w:rsidR="00E75063" w:rsidRPr="009F0BAA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9F0BAA">
        <w:rPr>
          <w:rFonts w:eastAsia="Times New Roman" w:cs="Fira Sans"/>
          <w:spacing w:val="-1"/>
          <w:szCs w:val="19"/>
          <w:lang w:val="en-GB" w:eastAsia="pl-PL"/>
        </w:rPr>
        <w:t>Outla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>ys on intangible fixed assets in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cre</w:t>
      </w:r>
      <w:r w:rsidR="00BD7971">
        <w:rPr>
          <w:rFonts w:eastAsia="Times New Roman" w:cs="Fira Sans"/>
          <w:spacing w:val="-1"/>
          <w:szCs w:val="19"/>
          <w:lang w:val="en-GB" w:eastAsia="pl-PL"/>
        </w:rPr>
        <w:t>ased in comparison to 2020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 xml:space="preserve"> by 44.5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% and amounted </w:t>
      </w:r>
      <w:r w:rsidR="00666D40" w:rsidRPr="009F0BAA">
        <w:rPr>
          <w:rFonts w:eastAsia="Times New Roman" w:cs="Fira Sans"/>
          <w:spacing w:val="-1"/>
          <w:szCs w:val="19"/>
          <w:lang w:val="en-GB" w:eastAsia="pl-PL"/>
        </w:rPr>
        <w:t xml:space="preserve">to 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>3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.4 million PLN. The greatest share in outlays on intangible fixed assets had units from </w:t>
      </w:r>
      <w:proofErr w:type="spellStart"/>
      <w:r w:rsidR="008F11D0" w:rsidRPr="009F0BAA">
        <w:rPr>
          <w:rFonts w:eastAsia="Times New Roman" w:cs="Fira Sans"/>
          <w:spacing w:val="-1"/>
          <w:szCs w:val="19"/>
          <w:lang w:val="en-GB" w:eastAsia="pl-PL"/>
        </w:rPr>
        <w:t>M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azowieckie</w:t>
      </w:r>
      <w:proofErr w:type="spellEnd"/>
      <w:r w:rsidRPr="009F0BAA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F11D0" w:rsidRPr="009F0BAA">
        <w:rPr>
          <w:rFonts w:eastAsia="Times New Roman" w:cs="Fira Sans"/>
          <w:spacing w:val="-1"/>
          <w:szCs w:val="19"/>
          <w:lang w:val="en-GB" w:eastAsia="pl-PL"/>
        </w:rPr>
        <w:t>V</w:t>
      </w:r>
      <w:r w:rsidR="002D3E25" w:rsidRPr="009F0BAA">
        <w:rPr>
          <w:rFonts w:eastAsia="Times New Roman" w:cs="Fira Sans"/>
          <w:spacing w:val="-1"/>
          <w:szCs w:val="19"/>
          <w:lang w:val="en-GB" w:eastAsia="pl-PL"/>
        </w:rPr>
        <w:t>oivodship (54.9</w:t>
      </w:r>
      <w:r w:rsidRPr="009F0BAA">
        <w:rPr>
          <w:rFonts w:eastAsia="Times New Roman" w:cs="Fira Sans"/>
          <w:spacing w:val="-1"/>
          <w:szCs w:val="19"/>
          <w:lang w:val="en-GB" w:eastAsia="pl-PL"/>
        </w:rPr>
        <w:t>%).</w:t>
      </w:r>
    </w:p>
    <w:p w14:paraId="139784FA" w14:textId="504489F8" w:rsidR="00BF0FC9" w:rsidRPr="00A14039" w:rsidRDefault="00BF0FC9" w:rsidP="00BF0FC9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Table 2. Total revenues and total costs of cultural institutions by selected divisions and </w:t>
      </w:r>
      <w:r w:rsidR="00E25592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classes</w:t>
      </w: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of PKD classification </w:t>
      </w:r>
      <w:r w:rsidR="00DF25B5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in</w:t>
      </w: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 w:rsidR="004F1D17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the first quarter of 2021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E75063" w:rsidRPr="00A14039" w14:paraId="530EFF3D" w14:textId="77777777" w:rsidTr="009D288D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6D5395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D05CC99" w14:textId="77777777" w:rsidR="00666D40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Number of </w:t>
            </w:r>
          </w:p>
          <w:p w14:paraId="5286C513" w14:textId="77777777" w:rsidR="006E54C4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cultural </w:t>
            </w:r>
          </w:p>
          <w:p w14:paraId="17434C49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institutions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D252F5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1EC52A97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revenues 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FFB56E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48DFF6E1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costs</w:t>
            </w:r>
          </w:p>
        </w:tc>
      </w:tr>
      <w:tr w:rsidR="00E75063" w:rsidRPr="00A14039" w14:paraId="77BA521B" w14:textId="77777777" w:rsidTr="009D288D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0162976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E575F3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8ED03DF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in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million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PLN</w:t>
            </w:r>
          </w:p>
        </w:tc>
      </w:tr>
      <w:tr w:rsidR="002C4302" w:rsidRPr="00A14039" w14:paraId="14951BFE" w14:textId="77777777" w:rsidTr="009D288D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1ECDCAE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  <w:lang w:val="en-GB"/>
              </w:rPr>
              <w:t>Grand total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AD741" w14:textId="4CED33C1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FE55C3">
              <w:rPr>
                <w:rFonts w:ascii="Fira Sans" w:hAnsi="Fira Sans" w:cs="Fira Sans"/>
                <w:b/>
                <w:bCs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696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09C81" w14:textId="3D57EBA2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</w:t>
            </w:r>
            <w:r w:rsidR="00FE55C3">
              <w:rPr>
                <w:rFonts w:ascii="Fira Sans" w:hAnsi="Fira Sans" w:cs="Fira Sans"/>
                <w:b/>
                <w:bCs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229</w:t>
            </w:r>
            <w:r w:rsidR="00C96B07">
              <w:rPr>
                <w:rFonts w:ascii="Fira Sans" w:hAnsi="Fira Sans" w:cs="Fira Sans"/>
                <w:b/>
                <w:bCs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0A3B4" w14:textId="6238177B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2</w:t>
            </w:r>
            <w:r w:rsidR="00FE55C3">
              <w:rPr>
                <w:rFonts w:ascii="Fira Sans" w:hAnsi="Fira Sans" w:cs="Fira Sans"/>
                <w:b/>
                <w:bCs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023</w:t>
            </w:r>
            <w:r w:rsidR="00C96B07">
              <w:rPr>
                <w:rFonts w:ascii="Fira Sans" w:hAnsi="Fira Sans" w:cs="Fira Sans"/>
                <w:b/>
                <w:bCs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5</w:t>
            </w:r>
          </w:p>
        </w:tc>
      </w:tr>
      <w:tr w:rsidR="002C4302" w:rsidRPr="00A14039" w14:paraId="549FB274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5F8C75" w14:textId="011D3CFF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local government units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C2C48" w14:textId="1CE9A6F9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FE55C3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628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BC6CE" w14:textId="76A0E60D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</w:t>
            </w:r>
            <w:r w:rsidR="00FE55C3">
              <w:rPr>
                <w:rFonts w:ascii="Fira Sans" w:hAnsi="Fira Sans" w:cs="Fira Sans"/>
                <w:spacing w:val="1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846</w:t>
            </w:r>
            <w:r w:rsidR="00C96B07">
              <w:rPr>
                <w:rFonts w:ascii="Fira Sans" w:hAnsi="Fira Sans" w:cs="Fira Sans"/>
                <w:spacing w:val="1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6C851" w14:textId="30846C39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E55C3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674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6</w:t>
            </w:r>
          </w:p>
        </w:tc>
      </w:tr>
      <w:tr w:rsidR="002C4302" w:rsidRPr="00A14039" w14:paraId="57ACBBDC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D8DDCB1" w14:textId="59B9B8A9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government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82FE5" w14:textId="7C460D06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2381" w14:textId="6338857F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382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8F85C" w14:textId="0A663B39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348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9</w:t>
            </w:r>
          </w:p>
        </w:tc>
      </w:tr>
      <w:tr w:rsidR="002C4302" w:rsidRPr="00A14039" w14:paraId="6F869D48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AFC9FB" w14:textId="44EE03D0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45A9B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4BD89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7E05A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2C4302" w:rsidRPr="00A14039" w14:paraId="19EBCA92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A4CC307" w14:textId="14D5E54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380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29E5D" w14:textId="0EFAA445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E55C3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304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21FD0" w14:textId="08D800CA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E55C3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308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B5A17" w14:textId="47457E29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</w:t>
            </w:r>
            <w:r w:rsidR="00FE55C3">
              <w:rPr>
                <w:rFonts w:ascii="Fira Sans" w:hAnsi="Fira Sans" w:cs="Fira Sans"/>
                <w:spacing w:val="1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156</w:t>
            </w:r>
            <w:r w:rsidR="00C96B07">
              <w:rPr>
                <w:rFonts w:ascii="Fira Sans" w:hAnsi="Fira Sans" w:cs="Fira Sans"/>
                <w:spacing w:val="1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8</w:t>
            </w:r>
          </w:p>
        </w:tc>
      </w:tr>
      <w:tr w:rsidR="002C4302" w:rsidRPr="00A14039" w14:paraId="3CC91D0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C70EF3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   of which: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52478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4DF2B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24AB7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2C4302" w:rsidRPr="00A14039" w14:paraId="629D0A0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6A96FE" w14:textId="6CC98B43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performing arts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F49C4" w14:textId="7AA76C08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DC695" w14:textId="5005B3A6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418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82EED" w14:textId="05C9CF75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400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  <w:tr w:rsidR="002C4302" w:rsidRPr="00A14039" w14:paraId="2BD12A9E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9740EE" w14:textId="0AF08B92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operation of arts facilities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2CABE" w14:textId="2A28816A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E55C3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8C485" w14:textId="6EF9850A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861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818ED" w14:textId="7571C00C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732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</w:tr>
      <w:tr w:rsidR="002C4302" w:rsidRPr="00A14039" w14:paraId="6169A67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5CC62B" w14:textId="608B9AB1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libraries, archives, museums and other cultural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br/>
              <w:t xml:space="preserve">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B2023" w14:textId="27E19076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E55C3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386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CA140" w14:textId="136FBB56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891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2F97A" w14:textId="40729C1F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837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5</w:t>
            </w:r>
          </w:p>
        </w:tc>
      </w:tr>
      <w:tr w:rsidR="002C4302" w:rsidRPr="00A14039" w14:paraId="6F7A52D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D23372F" w14:textId="2544000F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426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</w:t>
            </w:r>
            <w:r w:rsidR="00C96B07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8E2C3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020C4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5D572" w14:textId="7777777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2C4302" w:rsidRPr="00A14039" w14:paraId="5AFD731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CA3AC2" w14:textId="0F7ECC93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library and archives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D0728" w14:textId="07DC2EDA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FE55C3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86BD7" w14:textId="24FE0FA7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435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D691" w14:textId="41AB44D2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398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2</w:t>
            </w:r>
          </w:p>
        </w:tc>
      </w:tr>
      <w:tr w:rsidR="002C4302" w:rsidRPr="00A14039" w14:paraId="4F37A83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4835CB85" w14:textId="0E7ADDA0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museums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78B2" w14:textId="5D185FDA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C142A" w14:textId="627C0D3F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435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E5E63" w14:textId="4C150560" w:rsidR="002C4302" w:rsidRPr="00A14039" w:rsidRDefault="002C4302" w:rsidP="002C430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419</w:t>
            </w:r>
            <w:r w:rsidR="00C96B07">
              <w:rPr>
                <w:rFonts w:ascii="Fira Sans" w:hAnsi="Fira Sans" w:cs="Fira Sans"/>
                <w:sz w:val="16"/>
                <w:szCs w:val="16"/>
              </w:rPr>
              <w:t>.</w:t>
            </w:r>
            <w:r>
              <w:rPr>
                <w:rFonts w:ascii="Fira Sans" w:hAnsi="Fira Sans" w:cs="Fira Sans"/>
                <w:sz w:val="16"/>
                <w:szCs w:val="16"/>
              </w:rPr>
              <w:t>4</w:t>
            </w:r>
          </w:p>
        </w:tc>
      </w:tr>
    </w:tbl>
    <w:p w14:paraId="253E6024" w14:textId="77777777" w:rsidR="00BF0FC9" w:rsidRDefault="00BF0FC9" w:rsidP="00BF0FC9">
      <w:pPr>
        <w:rPr>
          <w:lang w:val="en-GB" w:eastAsia="pl-PL"/>
        </w:rPr>
      </w:pPr>
    </w:p>
    <w:p w14:paraId="32CC5F96" w14:textId="115D0265" w:rsidR="00C3685D" w:rsidRPr="009F0BAA" w:rsidRDefault="002318C6" w:rsidP="00C3685D">
      <w:pPr>
        <w:rPr>
          <w:lang w:val="en-GB" w:eastAsia="pl-PL"/>
        </w:rPr>
      </w:pPr>
      <w:r>
        <w:rPr>
          <w:lang w:val="en-GB" w:eastAsia="pl-PL"/>
        </w:rPr>
        <w:t xml:space="preserve">Out of </w:t>
      </w:r>
      <w:r w:rsidR="006608A7">
        <w:rPr>
          <w:lang w:val="en-GB" w:eastAsia="pl-PL"/>
        </w:rPr>
        <w:t>4,</w:t>
      </w:r>
      <w:r w:rsidR="00C3685D" w:rsidRPr="009F0BAA">
        <w:rPr>
          <w:lang w:val="en-GB" w:eastAsia="pl-PL"/>
        </w:rPr>
        <w:t>692 cultural institutions that responded to the COVID-19 pandemic impact assessment question, more than half (64.2%) estimated that they experienced</w:t>
      </w:r>
      <w:r w:rsidR="000032EC" w:rsidRPr="009F0BAA">
        <w:rPr>
          <w:lang w:val="en-GB" w:eastAsia="pl-PL"/>
        </w:rPr>
        <w:t xml:space="preserve"> negative effects</w:t>
      </w:r>
      <w:r w:rsidR="00C3685D" w:rsidRPr="009F0BAA">
        <w:rPr>
          <w:lang w:val="en-GB" w:eastAsia="pl-PL"/>
        </w:rPr>
        <w:t xml:space="preserve"> in </w:t>
      </w:r>
      <w:r w:rsidR="000032EC" w:rsidRPr="009F0BAA">
        <w:rPr>
          <w:lang w:val="en-GB" w:eastAsia="pl-PL"/>
        </w:rPr>
        <w:t>the first quarter of</w:t>
      </w:r>
      <w:r w:rsidR="004375C7" w:rsidRPr="009F0BAA">
        <w:rPr>
          <w:lang w:val="en-GB" w:eastAsia="pl-PL"/>
        </w:rPr>
        <w:t xml:space="preserve"> 2021 </w:t>
      </w:r>
      <w:r w:rsidR="00976D86">
        <w:rPr>
          <w:lang w:val="en-GB" w:eastAsia="pl-PL"/>
        </w:rPr>
        <w:t>(i</w:t>
      </w:r>
      <w:r w:rsidR="004375C7" w:rsidRPr="009F0BAA">
        <w:rPr>
          <w:lang w:val="en-GB" w:eastAsia="pl-PL"/>
        </w:rPr>
        <w:t xml:space="preserve">n </w:t>
      </w:r>
      <w:r w:rsidR="00976D86">
        <w:rPr>
          <w:lang w:val="en-GB" w:eastAsia="pl-PL"/>
        </w:rPr>
        <w:t xml:space="preserve">the fourth quarter </w:t>
      </w:r>
      <w:r w:rsidR="004375C7" w:rsidRPr="009F0BAA">
        <w:rPr>
          <w:lang w:val="en-GB" w:eastAsia="pl-PL"/>
        </w:rPr>
        <w:t xml:space="preserve">2020, 64.9% </w:t>
      </w:r>
      <w:r w:rsidR="00976D86">
        <w:rPr>
          <w:lang w:val="en-GB" w:eastAsia="pl-PL"/>
        </w:rPr>
        <w:t xml:space="preserve">out </w:t>
      </w:r>
      <w:r w:rsidR="006608A7">
        <w:rPr>
          <w:lang w:val="en-GB" w:eastAsia="pl-PL"/>
        </w:rPr>
        <w:t>of 4,</w:t>
      </w:r>
      <w:r w:rsidR="00C3685D" w:rsidRPr="009F0BAA">
        <w:rPr>
          <w:lang w:val="en-GB" w:eastAsia="pl-PL"/>
        </w:rPr>
        <w:t>708). Negative impacts were more often described by cultural inst</w:t>
      </w:r>
      <w:r w:rsidR="000032EC" w:rsidRPr="009F0BAA">
        <w:rPr>
          <w:lang w:val="en-GB" w:eastAsia="pl-PL"/>
        </w:rPr>
        <w:t xml:space="preserve">itutions as minor </w:t>
      </w:r>
      <w:r w:rsidR="00145627">
        <w:rPr>
          <w:lang w:val="en-GB" w:eastAsia="pl-PL"/>
        </w:rPr>
        <w:t xml:space="preserve">rather </w:t>
      </w:r>
      <w:r w:rsidR="000032EC" w:rsidRPr="009F0BAA">
        <w:rPr>
          <w:lang w:val="en-GB" w:eastAsia="pl-PL"/>
        </w:rPr>
        <w:t>than major (1</w:t>
      </w:r>
      <w:r w:rsidR="00FE55C3">
        <w:rPr>
          <w:lang w:val="en-GB" w:eastAsia="pl-PL"/>
        </w:rPr>
        <w:t>,</w:t>
      </w:r>
      <w:r w:rsidR="000032EC" w:rsidRPr="009F0BAA">
        <w:rPr>
          <w:lang w:val="en-GB" w:eastAsia="pl-PL"/>
        </w:rPr>
        <w:t xml:space="preserve">615 </w:t>
      </w:r>
      <w:r w:rsidR="00145627">
        <w:rPr>
          <w:lang w:val="en-GB" w:eastAsia="pl-PL"/>
        </w:rPr>
        <w:t>vs</w:t>
      </w:r>
      <w:r w:rsidR="00145627" w:rsidRPr="009F0BAA">
        <w:rPr>
          <w:lang w:val="en-GB" w:eastAsia="pl-PL"/>
        </w:rPr>
        <w:t xml:space="preserve"> </w:t>
      </w:r>
      <w:r w:rsidR="000032EC" w:rsidRPr="009F0BAA">
        <w:rPr>
          <w:lang w:val="en-GB" w:eastAsia="pl-PL"/>
        </w:rPr>
        <w:t>1</w:t>
      </w:r>
      <w:r w:rsidR="00FE55C3">
        <w:rPr>
          <w:lang w:val="en-GB" w:eastAsia="pl-PL"/>
        </w:rPr>
        <w:t>,</w:t>
      </w:r>
      <w:r w:rsidR="00C3685D" w:rsidRPr="009F0BAA">
        <w:rPr>
          <w:lang w:val="en-GB" w:eastAsia="pl-PL"/>
        </w:rPr>
        <w:t xml:space="preserve">398, respectively).  </w:t>
      </w:r>
    </w:p>
    <w:p w14:paraId="657BC413" w14:textId="1E2330C4" w:rsidR="00C3685D" w:rsidRPr="009F0BAA" w:rsidRDefault="00C3685D" w:rsidP="00C3685D">
      <w:pPr>
        <w:rPr>
          <w:lang w:val="en-GB" w:eastAsia="pl-PL"/>
        </w:rPr>
      </w:pPr>
      <w:r w:rsidRPr="009F0BAA">
        <w:rPr>
          <w:lang w:val="en-GB" w:eastAsia="pl-PL"/>
        </w:rPr>
        <w:lastRenderedPageBreak/>
        <w:t>The highest percentage of responses indicating negative impacts was among</w:t>
      </w:r>
      <w:r w:rsidR="00640AA4">
        <w:rPr>
          <w:lang w:val="en-GB" w:eastAsia="pl-PL"/>
        </w:rPr>
        <w:t xml:space="preserve"> voivodship</w:t>
      </w:r>
      <w:r w:rsidRPr="009F0BAA">
        <w:rPr>
          <w:lang w:val="en-GB" w:eastAsia="pl-PL"/>
        </w:rPr>
        <w:t xml:space="preserve"> cultural institutions (85.8% o</w:t>
      </w:r>
      <w:r w:rsidR="000032EC" w:rsidRPr="009F0BAA">
        <w:rPr>
          <w:lang w:val="en-GB" w:eastAsia="pl-PL"/>
        </w:rPr>
        <w:t>f the total number of the voivodship</w:t>
      </w:r>
      <w:r w:rsidRPr="009F0BAA">
        <w:rPr>
          <w:lang w:val="en-GB" w:eastAsia="pl-PL"/>
        </w:rPr>
        <w:t xml:space="preserve"> cultural institutions), whil</w:t>
      </w:r>
      <w:r w:rsidR="00640AA4">
        <w:rPr>
          <w:lang w:val="en-GB" w:eastAsia="pl-PL"/>
        </w:rPr>
        <w:t xml:space="preserve">e the lowest was among </w:t>
      </w:r>
      <w:proofErr w:type="spellStart"/>
      <w:r w:rsidR="00640AA4">
        <w:rPr>
          <w:lang w:val="en-GB" w:eastAsia="pl-PL"/>
        </w:rPr>
        <w:t>gminas</w:t>
      </w:r>
      <w:proofErr w:type="spellEnd"/>
      <w:r w:rsidRPr="009F0BAA">
        <w:rPr>
          <w:lang w:val="en-GB" w:eastAsia="pl-PL"/>
        </w:rPr>
        <w:t xml:space="preserve"> cultural institutions (62.4% </w:t>
      </w:r>
      <w:r w:rsidR="00640AA4">
        <w:rPr>
          <w:lang w:val="en-GB" w:eastAsia="pl-PL"/>
        </w:rPr>
        <w:t xml:space="preserve">of the total number of </w:t>
      </w:r>
      <w:proofErr w:type="spellStart"/>
      <w:r w:rsidR="00640AA4">
        <w:rPr>
          <w:lang w:val="en-GB" w:eastAsia="pl-PL"/>
        </w:rPr>
        <w:t>gminas</w:t>
      </w:r>
      <w:proofErr w:type="spellEnd"/>
      <w:r w:rsidRPr="009F0BAA">
        <w:rPr>
          <w:lang w:val="en-GB" w:eastAsia="pl-PL"/>
        </w:rPr>
        <w:t xml:space="preserve"> cultural </w:t>
      </w:r>
      <w:r w:rsidR="00640AA4">
        <w:rPr>
          <w:lang w:val="en-GB" w:eastAsia="pl-PL"/>
        </w:rPr>
        <w:t xml:space="preserve">institutions). </w:t>
      </w:r>
      <w:r w:rsidR="00640AA4" w:rsidRPr="00640AA4">
        <w:rPr>
          <w:lang w:val="en-GB" w:eastAsia="pl-PL"/>
        </w:rPr>
        <w:t>National</w:t>
      </w:r>
      <w:r w:rsidR="000032EC" w:rsidRPr="00640AA4">
        <w:rPr>
          <w:lang w:val="en-GB" w:eastAsia="pl-PL"/>
        </w:rPr>
        <w:t>,</w:t>
      </w:r>
      <w:r w:rsidR="000032EC" w:rsidRPr="009F0BAA">
        <w:rPr>
          <w:lang w:val="en-GB" w:eastAsia="pl-PL"/>
        </w:rPr>
        <w:t xml:space="preserve"> voivodship</w:t>
      </w:r>
      <w:r w:rsidR="00640AA4">
        <w:rPr>
          <w:lang w:val="en-GB" w:eastAsia="pl-PL"/>
        </w:rPr>
        <w:t xml:space="preserve">s and </w:t>
      </w:r>
      <w:proofErr w:type="spellStart"/>
      <w:r w:rsidR="00640AA4">
        <w:rPr>
          <w:lang w:val="en-GB" w:eastAsia="pl-PL"/>
        </w:rPr>
        <w:t>powiats</w:t>
      </w:r>
      <w:proofErr w:type="spellEnd"/>
      <w:r w:rsidRPr="009F0BAA">
        <w:rPr>
          <w:lang w:val="en-GB" w:eastAsia="pl-PL"/>
        </w:rPr>
        <w:t xml:space="preserve"> cultural institutions were more likely to describe negative impacts as significant </w:t>
      </w:r>
      <w:r w:rsidR="00976D86">
        <w:rPr>
          <w:lang w:val="en-GB" w:eastAsia="pl-PL"/>
        </w:rPr>
        <w:t xml:space="preserve">rather </w:t>
      </w:r>
      <w:r w:rsidRPr="009F0BAA">
        <w:rPr>
          <w:lang w:val="en-GB" w:eastAsia="pl-PL"/>
        </w:rPr>
        <w:t xml:space="preserve">than insignificant. </w:t>
      </w:r>
    </w:p>
    <w:p w14:paraId="562CBE17" w14:textId="70F42ACE" w:rsidR="005315A2" w:rsidRPr="00A14039" w:rsidRDefault="00C3685D" w:rsidP="00C3685D">
      <w:pPr>
        <w:rPr>
          <w:lang w:val="en-GB" w:eastAsia="pl-PL"/>
        </w:rPr>
      </w:pPr>
      <w:r w:rsidRPr="00C3685D">
        <w:rPr>
          <w:lang w:val="en-GB" w:eastAsia="pl-PL"/>
        </w:rPr>
        <w:t xml:space="preserve">In the </w:t>
      </w:r>
      <w:r w:rsidR="004375C7">
        <w:rPr>
          <w:lang w:val="en-GB" w:eastAsia="pl-PL"/>
        </w:rPr>
        <w:t>first quarter of 2021</w:t>
      </w:r>
      <w:r w:rsidR="00976D86">
        <w:rPr>
          <w:lang w:val="en-GB" w:eastAsia="pl-PL"/>
        </w:rPr>
        <w:t>,</w:t>
      </w:r>
      <w:r w:rsidR="006608A7">
        <w:rPr>
          <w:lang w:val="en-GB" w:eastAsia="pl-PL"/>
        </w:rPr>
        <w:t xml:space="preserve"> 66.5% (2,</w:t>
      </w:r>
      <w:r w:rsidRPr="00C3685D">
        <w:rPr>
          <w:lang w:val="en-GB" w:eastAsia="pl-PL"/>
        </w:rPr>
        <w:t>005) of cultural institutions that experienced negative effects of the pandemic</w:t>
      </w:r>
      <w:r w:rsidR="00145627">
        <w:rPr>
          <w:lang w:val="en-GB" w:eastAsia="pl-PL"/>
        </w:rPr>
        <w:t>,</w:t>
      </w:r>
      <w:r w:rsidRPr="00C3685D">
        <w:rPr>
          <w:lang w:val="en-GB" w:eastAsia="pl-PL"/>
        </w:rPr>
        <w:t xml:space="preserve"> in their assessment estimated the decrease in revenue from business activities compared to the fourth quarter of 2020 to be up to 50.0%. A decrease in revenue from business activities above 90.0% was indicated by 239 cultural institutions (6 less than in the previous quarter</w:t>
      </w:r>
      <w:r w:rsidR="00640AA4">
        <w:rPr>
          <w:lang w:val="en-GB" w:eastAsia="pl-PL"/>
        </w:rPr>
        <w:t xml:space="preserve">) - these were mainly </w:t>
      </w:r>
      <w:proofErr w:type="spellStart"/>
      <w:r w:rsidR="00640AA4">
        <w:rPr>
          <w:lang w:val="en-GB" w:eastAsia="pl-PL"/>
        </w:rPr>
        <w:t>gminas</w:t>
      </w:r>
      <w:proofErr w:type="spellEnd"/>
      <w:r w:rsidRPr="00C3685D">
        <w:rPr>
          <w:lang w:val="en-GB" w:eastAsia="pl-PL"/>
        </w:rPr>
        <w:t xml:space="preserve"> cultural institutions (208).</w:t>
      </w:r>
    </w:p>
    <w:p w14:paraId="69E4BFD3" w14:textId="77777777" w:rsidR="00E823DF" w:rsidRDefault="00E823DF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</w:p>
    <w:p w14:paraId="64FB0417" w14:textId="09E7A196" w:rsidR="00BF0FC9" w:rsidRPr="00A14039" w:rsidRDefault="00BF0FC9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  <w:r w:rsidRPr="00A14039">
        <w:rPr>
          <w:rFonts w:ascii="Fira Sans" w:hAnsi="Fira Sans"/>
          <w:color w:val="auto"/>
          <w:szCs w:val="19"/>
          <w:lang w:val="en-GB"/>
        </w:rPr>
        <w:t>The data presented in this study</w:t>
      </w:r>
      <w:r w:rsidR="008425DA" w:rsidRPr="00A14039">
        <w:rPr>
          <w:rFonts w:ascii="Fira Sans" w:hAnsi="Fira Sans"/>
          <w:color w:val="auto"/>
          <w:szCs w:val="19"/>
          <w:lang w:val="en-GB"/>
        </w:rPr>
        <w:t xml:space="preserve"> </w:t>
      </w:r>
      <w:r w:rsidRPr="00A14039">
        <w:rPr>
          <w:rFonts w:ascii="Fira Sans" w:hAnsi="Fira Sans"/>
          <w:color w:val="auto"/>
          <w:szCs w:val="19"/>
          <w:lang w:val="en-GB"/>
        </w:rPr>
        <w:t xml:space="preserve">were prepared on the basis of the form with the symbol </w:t>
      </w:r>
      <w:r w:rsidR="00E0767A">
        <w:rPr>
          <w:rFonts w:ascii="Fira Sans" w:hAnsi="Fira Sans"/>
          <w:color w:val="auto"/>
          <w:szCs w:val="19"/>
          <w:lang w:val="en-GB"/>
        </w:rPr>
        <w:br/>
      </w:r>
      <w:r w:rsidRPr="00A14039">
        <w:rPr>
          <w:rFonts w:ascii="Fira Sans" w:hAnsi="Fira Sans"/>
          <w:color w:val="auto"/>
          <w:szCs w:val="19"/>
          <w:lang w:val="en-GB"/>
        </w:rPr>
        <w:t>F-01/</w:t>
      </w:r>
      <w:proofErr w:type="spellStart"/>
      <w:r w:rsidRPr="00A14039">
        <w:rPr>
          <w:rFonts w:ascii="Fira Sans" w:hAnsi="Fira Sans"/>
          <w:color w:val="auto"/>
          <w:szCs w:val="19"/>
          <w:lang w:val="en-GB"/>
        </w:rPr>
        <w:t>dk</w:t>
      </w:r>
      <w:proofErr w:type="spellEnd"/>
      <w:r w:rsidRPr="00A14039">
        <w:rPr>
          <w:rFonts w:ascii="Fira Sans" w:hAnsi="Fira Sans"/>
          <w:color w:val="auto"/>
          <w:szCs w:val="19"/>
          <w:lang w:val="en-GB"/>
        </w:rPr>
        <w:t xml:space="preserve"> </w:t>
      </w:r>
      <w:r w:rsidRPr="00A14039">
        <w:rPr>
          <w:rFonts w:ascii="Fira Sans" w:hAnsi="Fira Sans"/>
          <w:i/>
          <w:color w:val="auto"/>
          <w:szCs w:val="19"/>
          <w:lang w:val="en-GB"/>
        </w:rPr>
        <w:t>Quarterly report on the finances of cultural institutions</w:t>
      </w:r>
      <w:r w:rsidRPr="00A14039">
        <w:rPr>
          <w:rFonts w:ascii="Fira Sans" w:hAnsi="Fira Sans"/>
          <w:color w:val="auto"/>
          <w:szCs w:val="19"/>
          <w:lang w:val="en-GB"/>
        </w:rPr>
        <w:t>.</w:t>
      </w:r>
    </w:p>
    <w:p w14:paraId="079FEC21" w14:textId="77777777" w:rsidR="00E823DF" w:rsidRDefault="00E823DF" w:rsidP="00BF0FC9">
      <w:pPr>
        <w:rPr>
          <w:lang w:val="en-GB" w:eastAsia="pl-PL"/>
        </w:rPr>
      </w:pPr>
    </w:p>
    <w:p w14:paraId="1D3265BD" w14:textId="77777777" w:rsidR="00E823DF" w:rsidRDefault="00E823DF" w:rsidP="00BF0FC9">
      <w:pPr>
        <w:rPr>
          <w:lang w:val="en-GB" w:eastAsia="pl-PL"/>
        </w:rPr>
      </w:pPr>
    </w:p>
    <w:p w14:paraId="3175BC88" w14:textId="77777777" w:rsidR="00E823DF" w:rsidRDefault="00E823DF" w:rsidP="00BF0FC9">
      <w:pPr>
        <w:rPr>
          <w:lang w:val="en-GB" w:eastAsia="pl-PL"/>
        </w:rPr>
      </w:pPr>
    </w:p>
    <w:p w14:paraId="0CCE8214" w14:textId="77777777" w:rsidR="00E823DF" w:rsidRDefault="00E823DF" w:rsidP="00BF0FC9">
      <w:pPr>
        <w:rPr>
          <w:lang w:val="en-GB" w:eastAsia="pl-PL"/>
        </w:rPr>
      </w:pPr>
    </w:p>
    <w:p w14:paraId="6960F67B" w14:textId="77777777" w:rsidR="00E823DF" w:rsidRDefault="00E823DF" w:rsidP="00BF0FC9">
      <w:pPr>
        <w:rPr>
          <w:lang w:val="en-GB" w:eastAsia="pl-PL"/>
        </w:rPr>
      </w:pPr>
    </w:p>
    <w:p w14:paraId="47DCB5E2" w14:textId="77777777" w:rsidR="00E823DF" w:rsidRDefault="00E823DF" w:rsidP="00BF0FC9">
      <w:pPr>
        <w:rPr>
          <w:lang w:val="en-GB" w:eastAsia="pl-PL"/>
        </w:rPr>
      </w:pPr>
    </w:p>
    <w:p w14:paraId="793A79D6" w14:textId="77777777" w:rsidR="00E823DF" w:rsidRDefault="00E823DF" w:rsidP="00BF0FC9">
      <w:pPr>
        <w:rPr>
          <w:lang w:val="en-GB" w:eastAsia="pl-PL"/>
        </w:rPr>
      </w:pPr>
    </w:p>
    <w:p w14:paraId="536105AB" w14:textId="77777777" w:rsidR="00E823DF" w:rsidRDefault="00E823DF" w:rsidP="00BF0FC9">
      <w:pPr>
        <w:rPr>
          <w:lang w:val="en-GB" w:eastAsia="pl-PL"/>
        </w:rPr>
      </w:pPr>
    </w:p>
    <w:p w14:paraId="4C2365EF" w14:textId="77777777" w:rsidR="00E823DF" w:rsidRDefault="00E823DF" w:rsidP="00BF0FC9">
      <w:pPr>
        <w:rPr>
          <w:lang w:val="en-GB" w:eastAsia="pl-PL"/>
        </w:rPr>
      </w:pPr>
    </w:p>
    <w:p w14:paraId="050A627C" w14:textId="77777777" w:rsidR="00E823DF" w:rsidRDefault="00E823DF" w:rsidP="00BF0FC9">
      <w:pPr>
        <w:rPr>
          <w:lang w:val="en-GB" w:eastAsia="pl-PL"/>
        </w:rPr>
      </w:pPr>
    </w:p>
    <w:p w14:paraId="7A70EEA8" w14:textId="77777777" w:rsidR="00E823DF" w:rsidRDefault="00E823DF" w:rsidP="00BF0FC9">
      <w:pPr>
        <w:rPr>
          <w:lang w:val="en-GB" w:eastAsia="pl-PL"/>
        </w:rPr>
      </w:pPr>
    </w:p>
    <w:p w14:paraId="5980AB66" w14:textId="77777777" w:rsidR="00E823DF" w:rsidRDefault="00E823DF" w:rsidP="00BF0FC9">
      <w:pPr>
        <w:rPr>
          <w:lang w:val="en-GB" w:eastAsia="pl-PL"/>
        </w:rPr>
      </w:pPr>
    </w:p>
    <w:p w14:paraId="383C585F" w14:textId="77777777" w:rsidR="00E823DF" w:rsidRDefault="00E823DF" w:rsidP="00BF0FC9">
      <w:pPr>
        <w:rPr>
          <w:lang w:val="en-GB" w:eastAsia="pl-PL"/>
        </w:rPr>
      </w:pPr>
    </w:p>
    <w:p w14:paraId="7E171910" w14:textId="77777777" w:rsidR="00E823DF" w:rsidRDefault="00E823DF" w:rsidP="00BF0FC9">
      <w:pPr>
        <w:rPr>
          <w:lang w:val="en-GB" w:eastAsia="pl-PL"/>
        </w:rPr>
      </w:pPr>
    </w:p>
    <w:p w14:paraId="572971DF" w14:textId="77777777" w:rsidR="00E823DF" w:rsidRDefault="00E823DF" w:rsidP="00BF0FC9">
      <w:pPr>
        <w:rPr>
          <w:lang w:val="en-GB" w:eastAsia="pl-PL"/>
        </w:rPr>
      </w:pPr>
    </w:p>
    <w:p w14:paraId="6C0269FA" w14:textId="77777777" w:rsidR="00E823DF" w:rsidRDefault="00E823DF" w:rsidP="00BF0FC9">
      <w:pPr>
        <w:rPr>
          <w:lang w:val="en-GB" w:eastAsia="pl-PL"/>
        </w:rPr>
      </w:pPr>
    </w:p>
    <w:p w14:paraId="33A8803A" w14:textId="77777777" w:rsidR="00E823DF" w:rsidRDefault="00E823DF" w:rsidP="00BF0FC9">
      <w:pPr>
        <w:rPr>
          <w:lang w:val="en-GB" w:eastAsia="pl-PL"/>
        </w:rPr>
      </w:pPr>
    </w:p>
    <w:p w14:paraId="624BF3D4" w14:textId="77777777" w:rsidR="00E823DF" w:rsidRDefault="00E823DF" w:rsidP="00BF0FC9">
      <w:pPr>
        <w:rPr>
          <w:lang w:val="en-GB" w:eastAsia="pl-PL"/>
        </w:rPr>
      </w:pPr>
    </w:p>
    <w:p w14:paraId="16D60627" w14:textId="77777777" w:rsidR="00E823DF" w:rsidRDefault="00E823DF" w:rsidP="00BF0FC9">
      <w:pPr>
        <w:rPr>
          <w:lang w:val="en-GB" w:eastAsia="pl-PL"/>
        </w:rPr>
      </w:pPr>
    </w:p>
    <w:p w14:paraId="2BB6BC7E" w14:textId="77777777" w:rsidR="00E823DF" w:rsidRDefault="00E823DF" w:rsidP="00BF0FC9">
      <w:pPr>
        <w:rPr>
          <w:lang w:val="en-GB" w:eastAsia="pl-PL"/>
        </w:rPr>
      </w:pPr>
    </w:p>
    <w:p w14:paraId="1C69FBB4" w14:textId="77777777" w:rsidR="00E823DF" w:rsidRDefault="00E823DF" w:rsidP="00BF0FC9">
      <w:pPr>
        <w:rPr>
          <w:lang w:val="en-GB" w:eastAsia="pl-PL"/>
        </w:rPr>
      </w:pPr>
    </w:p>
    <w:p w14:paraId="28E9D846" w14:textId="77777777" w:rsidR="00E823DF" w:rsidRDefault="00E823DF" w:rsidP="00BF0FC9">
      <w:pPr>
        <w:rPr>
          <w:lang w:val="en-GB" w:eastAsia="pl-PL"/>
        </w:rPr>
      </w:pPr>
    </w:p>
    <w:p w14:paraId="2E1AAB88" w14:textId="77777777" w:rsidR="00E823DF" w:rsidRDefault="00E823DF" w:rsidP="00BF0FC9">
      <w:pPr>
        <w:rPr>
          <w:lang w:val="en-GB" w:eastAsia="pl-PL"/>
        </w:rPr>
      </w:pPr>
    </w:p>
    <w:p w14:paraId="5033396D" w14:textId="77777777" w:rsidR="00E823DF" w:rsidRDefault="00E823DF" w:rsidP="00BF0FC9">
      <w:pPr>
        <w:rPr>
          <w:lang w:val="en-GB" w:eastAsia="pl-PL"/>
        </w:rPr>
      </w:pPr>
    </w:p>
    <w:p w14:paraId="582EED34" w14:textId="77777777" w:rsidR="00E823DF" w:rsidRDefault="00E823DF" w:rsidP="00BF0FC9">
      <w:pPr>
        <w:rPr>
          <w:lang w:val="en-GB" w:eastAsia="pl-PL"/>
        </w:rPr>
      </w:pPr>
    </w:p>
    <w:p w14:paraId="1B4EBF3B" w14:textId="77777777" w:rsidR="00E823DF" w:rsidRDefault="00E823DF" w:rsidP="00BF0FC9">
      <w:pPr>
        <w:rPr>
          <w:lang w:val="en-GB" w:eastAsia="pl-PL"/>
        </w:rPr>
      </w:pPr>
    </w:p>
    <w:p w14:paraId="370AFE05" w14:textId="77777777" w:rsidR="00E823DF" w:rsidRDefault="00E823DF" w:rsidP="00BF0FC9">
      <w:pPr>
        <w:rPr>
          <w:lang w:val="en-GB" w:eastAsia="pl-PL"/>
        </w:rPr>
      </w:pPr>
    </w:p>
    <w:p w14:paraId="4A084C4F" w14:textId="77777777" w:rsidR="00E823DF" w:rsidRDefault="00E823DF" w:rsidP="00BF0FC9">
      <w:pPr>
        <w:rPr>
          <w:lang w:val="en-GB" w:eastAsia="pl-PL"/>
        </w:rPr>
      </w:pPr>
    </w:p>
    <w:p w14:paraId="3B6444BF" w14:textId="77777777" w:rsidR="00E823DF" w:rsidRDefault="00E823DF" w:rsidP="00BF0FC9">
      <w:pPr>
        <w:rPr>
          <w:lang w:val="en-GB" w:eastAsia="pl-PL"/>
        </w:rPr>
      </w:pPr>
    </w:p>
    <w:p w14:paraId="0CD8DD58" w14:textId="77777777" w:rsidR="00694AF0" w:rsidRPr="00A14039" w:rsidRDefault="00BF0FC9" w:rsidP="00BF0FC9">
      <w:pPr>
        <w:rPr>
          <w:sz w:val="18"/>
          <w:lang w:val="en-GB"/>
        </w:rPr>
      </w:pPr>
      <w:r w:rsidRPr="00A14039">
        <w:rPr>
          <w:lang w:val="en-GB" w:eastAsia="pl-PL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6B03D86" w14:textId="77777777" w:rsidR="00694AF0" w:rsidRPr="00A14039" w:rsidRDefault="00694AF0" w:rsidP="00E76D26">
      <w:pPr>
        <w:rPr>
          <w:sz w:val="18"/>
          <w:lang w:val="en-GB"/>
        </w:rPr>
        <w:sectPr w:rsidR="00694AF0" w:rsidRPr="00A14039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2354599" w14:textId="77777777" w:rsidR="000470AA" w:rsidRPr="00A14039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DD3558" w:rsidRPr="00AB59D4" w14:paraId="041AC2F5" w14:textId="77777777" w:rsidTr="00FE263D">
        <w:trPr>
          <w:trHeight w:val="1506"/>
        </w:trPr>
        <w:tc>
          <w:tcPr>
            <w:tcW w:w="4195" w:type="dxa"/>
          </w:tcPr>
          <w:p w14:paraId="30BBEB9B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344A57CD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 xml:space="preserve">Statistical Office in </w:t>
            </w:r>
            <w:proofErr w:type="spellStart"/>
            <w:r w:rsidRPr="00A14039">
              <w:rPr>
                <w:rFonts w:cs="Arial"/>
                <w:b/>
                <w:sz w:val="20"/>
                <w:lang w:val="en-GB"/>
              </w:rPr>
              <w:t>Kraków</w:t>
            </w:r>
            <w:proofErr w:type="spellEnd"/>
          </w:p>
          <w:p w14:paraId="231719AF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14:paraId="4841099E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Office: tel. (+48 12) 420 40 50</w:t>
            </w:r>
          </w:p>
          <w:p w14:paraId="021AD156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728" w:type="dxa"/>
          </w:tcPr>
          <w:p w14:paraId="59DD8909" w14:textId="4E707E0B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AB59D4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2DF1257" w14:textId="77777777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14:paraId="62CF4595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140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A1403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44AD44E3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14:paraId="4638978C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11B5F677" w14:textId="77777777" w:rsidR="00DD3558" w:rsidRPr="00A14039" w:rsidRDefault="00DD3558" w:rsidP="00DD3558">
      <w:pPr>
        <w:rPr>
          <w:sz w:val="20"/>
          <w:lang w:val="en-GB"/>
        </w:rPr>
      </w:pPr>
    </w:p>
    <w:p w14:paraId="0CBCF552" w14:textId="77777777" w:rsidR="00DD3558" w:rsidRPr="00A14039" w:rsidRDefault="00DD3558" w:rsidP="00DD3558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D3558" w:rsidRPr="00AB59D4" w14:paraId="2CD667EF" w14:textId="77777777" w:rsidTr="00FE263D">
        <w:trPr>
          <w:trHeight w:val="610"/>
        </w:trPr>
        <w:tc>
          <w:tcPr>
            <w:tcW w:w="2721" w:type="pct"/>
            <w:vMerge w:val="restart"/>
          </w:tcPr>
          <w:p w14:paraId="481C0635" w14:textId="77777777" w:rsidR="00DD3558" w:rsidRPr="00A14039" w:rsidRDefault="00DD3558" w:rsidP="00DD3558">
            <w:pPr>
              <w:rPr>
                <w:b/>
                <w:sz w:val="20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Press Office</w:t>
            </w:r>
          </w:p>
          <w:p w14:paraId="7626FAAA" w14:textId="77777777" w:rsidR="00DD3558" w:rsidRPr="00A14039" w:rsidRDefault="00DD3558" w:rsidP="00DD3558">
            <w:pPr>
              <w:rPr>
                <w:color w:val="FF0000"/>
                <w:sz w:val="20"/>
                <w:lang w:val="en-GB"/>
              </w:rPr>
            </w:pPr>
            <w:r w:rsidRPr="00A14039">
              <w:rPr>
                <w:rFonts w:cs="Arial"/>
                <w:sz w:val="20"/>
                <w:szCs w:val="24"/>
                <w:lang w:val="en-GB"/>
              </w:rPr>
              <w:t xml:space="preserve">Office: tel. </w:t>
            </w:r>
            <w:r w:rsidRPr="00A1403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(+48 22) </w:t>
            </w:r>
            <w:r w:rsidRPr="00A14039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506B3CAD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e-mail:</w:t>
            </w:r>
            <w:r w:rsidRPr="00A14039">
              <w:rPr>
                <w:sz w:val="20"/>
                <w:lang w:val="en-GB"/>
              </w:rPr>
              <w:t xml:space="preserve"> </w:t>
            </w:r>
            <w:hyperlink r:id="rId17" w:history="1">
              <w:r w:rsidRPr="00A1403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3D03887F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BA6A318" wp14:editId="32CBA3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B984D33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www.stat.gov.pl/en/</w:t>
            </w:r>
          </w:p>
        </w:tc>
      </w:tr>
      <w:tr w:rsidR="00DD3558" w:rsidRPr="00A14039" w14:paraId="1AC5466E" w14:textId="77777777" w:rsidTr="00FE263D">
        <w:trPr>
          <w:trHeight w:val="436"/>
        </w:trPr>
        <w:tc>
          <w:tcPr>
            <w:tcW w:w="2721" w:type="pct"/>
            <w:vMerge/>
          </w:tcPr>
          <w:p w14:paraId="385DFD76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D17635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8352" behindDoc="0" locked="0" layoutInCell="1" allowOverlap="1" wp14:anchorId="49432F7C" wp14:editId="3181825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6B076AA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DD3558" w:rsidRPr="00A14039" w14:paraId="5C903C30" w14:textId="77777777" w:rsidTr="00FE263D">
        <w:trPr>
          <w:trHeight w:val="436"/>
        </w:trPr>
        <w:tc>
          <w:tcPr>
            <w:tcW w:w="2721" w:type="pct"/>
            <w:vMerge/>
          </w:tcPr>
          <w:p w14:paraId="1D2BA84E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EE4709C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7328" behindDoc="0" locked="0" layoutInCell="1" allowOverlap="1" wp14:anchorId="5071F25C" wp14:editId="3E6B9A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CC0D3F6" w14:textId="77777777" w:rsidR="00DD3558" w:rsidRPr="00A14039" w:rsidRDefault="00DD3558" w:rsidP="00DD3558">
            <w:pPr>
              <w:rPr>
                <w:sz w:val="20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2461E3A4" w14:textId="77777777" w:rsidR="00DD3558" w:rsidRPr="00A14039" w:rsidRDefault="00DD3558" w:rsidP="00DD3558">
      <w:pPr>
        <w:rPr>
          <w:sz w:val="18"/>
          <w:lang w:val="en-GB"/>
        </w:rPr>
      </w:pPr>
      <w:r w:rsidRPr="00A1403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110FE40" wp14:editId="43F6BA3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56B0" w14:textId="77777777" w:rsidR="00DD3558" w:rsidRDefault="00DD3558" w:rsidP="00DD3558">
                            <w:pPr>
                              <w:rPr>
                                <w:b/>
                              </w:rPr>
                            </w:pPr>
                          </w:p>
                          <w:p w14:paraId="697997B2" w14:textId="77777777" w:rsidR="00DD3558" w:rsidRPr="004C68BC" w:rsidRDefault="00DD3558" w:rsidP="00DD355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1549986B" w14:textId="1C6C0E52" w:rsidR="00DD3558" w:rsidRPr="00C042A2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1" w:history="1">
                              <w:r w:rsidR="00E0767A" w:rsidRPr="002927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period January – December 2020</w:t>
                              </w:r>
                            </w:hyperlink>
                            <w:hyperlink r:id="rId22" w:history="1"/>
                          </w:p>
                          <w:p w14:paraId="4368EAC2" w14:textId="77777777" w:rsidR="00DD3558" w:rsidRPr="00C042A2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3" w:history="1">
                              <w:r w:rsidR="00DD3558" w:rsidRPr="006608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Methodological</w:t>
                              </w:r>
                              <w:r w:rsidR="00DD3558" w:rsidRPr="00C042A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 report. Non-financial enterprises surveys 2019</w:t>
                              </w:r>
                            </w:hyperlink>
                          </w:p>
                          <w:p w14:paraId="2B02DC8F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27D429C0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11526F63" w14:textId="77777777" w:rsidR="00DD3558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14:paraId="2287EB21" w14:textId="77777777" w:rsidR="00DD3558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costs</w:t>
                              </w:r>
                            </w:hyperlink>
                          </w:p>
                          <w:p w14:paraId="53541360" w14:textId="77777777" w:rsidR="00DD3558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Gross financial result</w:t>
                              </w:r>
                            </w:hyperlink>
                          </w:p>
                          <w:p w14:paraId="5B78212A" w14:textId="77777777" w:rsidR="00DD3558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Net financial result</w:t>
                              </w:r>
                            </w:hyperlink>
                          </w:p>
                          <w:p w14:paraId="2A9D398D" w14:textId="77777777" w:rsidR="00DD3558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Investment </w:t>
                              </w:r>
                              <w:r w:rsidR="005340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</w:t>
                              </w:r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tlays</w:t>
                              </w:r>
                            </w:hyperlink>
                          </w:p>
                          <w:p w14:paraId="6CB5A246" w14:textId="77777777" w:rsidR="00DD3558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14:paraId="0F1F3F49" w14:textId="77777777" w:rsidR="00DD3558" w:rsidRPr="00BB6D48" w:rsidRDefault="002C212E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30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Cultural institution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0FE4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23B56B0" w14:textId="77777777" w:rsidR="00DD3558" w:rsidRDefault="00DD3558" w:rsidP="00DD3558">
                      <w:pPr>
                        <w:rPr>
                          <w:b/>
                        </w:rPr>
                      </w:pPr>
                    </w:p>
                    <w:p w14:paraId="697997B2" w14:textId="77777777" w:rsidR="00DD3558" w:rsidRPr="004C68BC" w:rsidRDefault="00DD3558" w:rsidP="00DD3558">
                      <w:pPr>
                        <w:rPr>
                          <w:b/>
                          <w:lang w:val="en-GB"/>
                        </w:rPr>
                      </w:pPr>
                      <w:r w:rsidRPr="004C68BC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1549986B" w14:textId="1C6C0E52" w:rsidR="00DD3558" w:rsidRPr="00C042A2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1" w:history="1">
                        <w:r w:rsidR="00E0767A" w:rsidRPr="002927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period January – December 2020</w:t>
                        </w:r>
                      </w:hyperlink>
                      <w:r>
                        <w:fldChar w:fldCharType="begin"/>
                      </w:r>
                      <w:r w:rsidRPr="00E83234">
                        <w:rPr>
                          <w:lang w:val="en-US"/>
                        </w:rPr>
                        <w:instrText xml:space="preserve"> HYPERLINK "https://stat.gov.pl/en/topics/culture-tourism-sport/culture/financial-results-of-cultural-institutions-in-1st-half-of-2020,13,14.html"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</w:p>
                    <w:p w14:paraId="4368EAC2" w14:textId="77777777" w:rsidR="00DD3558" w:rsidRPr="00C042A2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2" w:history="1">
                        <w:r w:rsidR="00DD3558" w:rsidRPr="006608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Methodological</w:t>
                        </w:r>
                        <w:r w:rsidR="00DD3558" w:rsidRPr="00C042A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 report. Non-financial enterprises surveys 2019</w:t>
                        </w:r>
                      </w:hyperlink>
                    </w:p>
                    <w:p w14:paraId="2B02DC8F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27D429C0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C68B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11526F63" w14:textId="77777777" w:rsidR="00DD3558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14:paraId="2287EB21" w14:textId="77777777" w:rsidR="00DD3558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costs</w:t>
                        </w:r>
                      </w:hyperlink>
                    </w:p>
                    <w:p w14:paraId="53541360" w14:textId="77777777" w:rsidR="00DD3558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Gross financial result</w:t>
                        </w:r>
                      </w:hyperlink>
                    </w:p>
                    <w:p w14:paraId="5B78212A" w14:textId="77777777" w:rsidR="00DD3558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Net financial result</w:t>
                        </w:r>
                      </w:hyperlink>
                    </w:p>
                    <w:p w14:paraId="2A9D398D" w14:textId="77777777" w:rsidR="00DD3558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Investment </w:t>
                        </w:r>
                        <w:r w:rsidR="005340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</w:t>
                        </w:r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tlays</w:t>
                        </w:r>
                      </w:hyperlink>
                    </w:p>
                    <w:p w14:paraId="6CB5A246" w14:textId="77777777" w:rsidR="00DD3558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14:paraId="0F1F3F49" w14:textId="77777777" w:rsidR="00DD3558" w:rsidRPr="00BB6D48" w:rsidRDefault="00E83234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9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Cultural institution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66DB20" w14:textId="77777777" w:rsidR="00D261A2" w:rsidRPr="00A14039" w:rsidRDefault="00D261A2" w:rsidP="00E76D26">
      <w:pPr>
        <w:rPr>
          <w:sz w:val="18"/>
          <w:lang w:val="en-GB"/>
        </w:rPr>
      </w:pPr>
    </w:p>
    <w:sectPr w:rsidR="00D261A2" w:rsidRPr="00A14039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793F" w14:textId="77777777" w:rsidR="002C212E" w:rsidRDefault="002C212E" w:rsidP="000662E2">
      <w:pPr>
        <w:spacing w:after="0" w:line="240" w:lineRule="auto"/>
      </w:pPr>
      <w:r>
        <w:separator/>
      </w:r>
    </w:p>
  </w:endnote>
  <w:endnote w:type="continuationSeparator" w:id="0">
    <w:p w14:paraId="12BAC808" w14:textId="77777777" w:rsidR="002C212E" w:rsidRDefault="002C212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2F4201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D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7619D8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D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5725A12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D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7A5E0" w14:textId="77777777" w:rsidR="002C212E" w:rsidRDefault="002C212E" w:rsidP="000662E2">
      <w:pPr>
        <w:spacing w:after="0" w:line="240" w:lineRule="auto"/>
      </w:pPr>
      <w:r>
        <w:separator/>
      </w:r>
    </w:p>
  </w:footnote>
  <w:footnote w:type="continuationSeparator" w:id="0">
    <w:p w14:paraId="73C867D3" w14:textId="77777777" w:rsidR="002C212E" w:rsidRDefault="002C212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1B8E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B60A26" wp14:editId="4DB04CA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DBE48A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7948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F79EF12" wp14:editId="03D5732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AFBBD8" wp14:editId="26C6200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649C3D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FBBD8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649C3D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9C7FFEB" wp14:editId="28B19D8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17F47AE0" w14:textId="77777777" w:rsidR="001C7430" w:rsidRDefault="001C7430">
    <w:pPr>
      <w:pStyle w:val="Nagwek"/>
      <w:rPr>
        <w:noProof/>
        <w:lang w:eastAsia="pl-PL"/>
      </w:rPr>
    </w:pPr>
  </w:p>
  <w:p w14:paraId="191AB44D" w14:textId="77777777" w:rsidR="001C7430" w:rsidRDefault="001C7430">
    <w:pPr>
      <w:pStyle w:val="Nagwek"/>
      <w:rPr>
        <w:noProof/>
        <w:lang w:eastAsia="pl-PL"/>
      </w:rPr>
    </w:pPr>
  </w:p>
  <w:p w14:paraId="3083A80B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0F4547A" wp14:editId="7859946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5EFDE" w14:textId="20100589" w:rsidR="00F37172" w:rsidRPr="00C97596" w:rsidRDefault="00C435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6730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36730F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06BF5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454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775EFDE" w14:textId="20100589" w:rsidR="00F37172" w:rsidRPr="00C97596" w:rsidRDefault="00C435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6730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36730F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06BF5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6B0F" w14:textId="77777777" w:rsidR="00607CC5" w:rsidRDefault="00607CC5">
    <w:pPr>
      <w:pStyle w:val="Nagwek"/>
    </w:pPr>
  </w:p>
  <w:p w14:paraId="4419E03D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1.6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2EC"/>
    <w:rsid w:val="00003437"/>
    <w:rsid w:val="0000709F"/>
    <w:rsid w:val="000108B8"/>
    <w:rsid w:val="000152F5"/>
    <w:rsid w:val="00024DC5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87C"/>
    <w:rsid w:val="000D1D43"/>
    <w:rsid w:val="000D1EAB"/>
    <w:rsid w:val="000D225C"/>
    <w:rsid w:val="000D2A5C"/>
    <w:rsid w:val="000E0918"/>
    <w:rsid w:val="000E5B10"/>
    <w:rsid w:val="000F5228"/>
    <w:rsid w:val="001011C3"/>
    <w:rsid w:val="00110D87"/>
    <w:rsid w:val="00114DB9"/>
    <w:rsid w:val="00116087"/>
    <w:rsid w:val="00130296"/>
    <w:rsid w:val="00132A82"/>
    <w:rsid w:val="001423B6"/>
    <w:rsid w:val="0014399E"/>
    <w:rsid w:val="001448A7"/>
    <w:rsid w:val="00145627"/>
    <w:rsid w:val="00146621"/>
    <w:rsid w:val="00162325"/>
    <w:rsid w:val="001951DA"/>
    <w:rsid w:val="001952C4"/>
    <w:rsid w:val="001C3269"/>
    <w:rsid w:val="001C7430"/>
    <w:rsid w:val="001D1DB4"/>
    <w:rsid w:val="001D2736"/>
    <w:rsid w:val="00215D52"/>
    <w:rsid w:val="00217187"/>
    <w:rsid w:val="00223CE0"/>
    <w:rsid w:val="002318C6"/>
    <w:rsid w:val="00232FD6"/>
    <w:rsid w:val="0025563A"/>
    <w:rsid w:val="002574F9"/>
    <w:rsid w:val="00262B61"/>
    <w:rsid w:val="0026673C"/>
    <w:rsid w:val="00272A74"/>
    <w:rsid w:val="00276811"/>
    <w:rsid w:val="00282699"/>
    <w:rsid w:val="002926DF"/>
    <w:rsid w:val="002927A7"/>
    <w:rsid w:val="00296697"/>
    <w:rsid w:val="002A6113"/>
    <w:rsid w:val="002B0472"/>
    <w:rsid w:val="002B6B12"/>
    <w:rsid w:val="002C212E"/>
    <w:rsid w:val="002C4302"/>
    <w:rsid w:val="002D3E25"/>
    <w:rsid w:val="002D5D08"/>
    <w:rsid w:val="002E6140"/>
    <w:rsid w:val="002E6985"/>
    <w:rsid w:val="002E71B6"/>
    <w:rsid w:val="002F3202"/>
    <w:rsid w:val="002F77C8"/>
    <w:rsid w:val="00304F22"/>
    <w:rsid w:val="00306C7C"/>
    <w:rsid w:val="00322EDD"/>
    <w:rsid w:val="00324D01"/>
    <w:rsid w:val="00331527"/>
    <w:rsid w:val="00332320"/>
    <w:rsid w:val="003379B4"/>
    <w:rsid w:val="0034335C"/>
    <w:rsid w:val="00347D72"/>
    <w:rsid w:val="003551B3"/>
    <w:rsid w:val="00357611"/>
    <w:rsid w:val="00367237"/>
    <w:rsid w:val="0036730F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B1454"/>
    <w:rsid w:val="003B18B6"/>
    <w:rsid w:val="003C59E0"/>
    <w:rsid w:val="003C6C8D"/>
    <w:rsid w:val="003D4F95"/>
    <w:rsid w:val="003D5F42"/>
    <w:rsid w:val="003D60A9"/>
    <w:rsid w:val="003F4C97"/>
    <w:rsid w:val="003F7A34"/>
    <w:rsid w:val="003F7FE6"/>
    <w:rsid w:val="00400193"/>
    <w:rsid w:val="00411663"/>
    <w:rsid w:val="0041554E"/>
    <w:rsid w:val="004212E7"/>
    <w:rsid w:val="00421EAC"/>
    <w:rsid w:val="0042446D"/>
    <w:rsid w:val="00427BF8"/>
    <w:rsid w:val="00431C02"/>
    <w:rsid w:val="00437395"/>
    <w:rsid w:val="004375C7"/>
    <w:rsid w:val="00445047"/>
    <w:rsid w:val="00463428"/>
    <w:rsid w:val="00463E39"/>
    <w:rsid w:val="004657FC"/>
    <w:rsid w:val="004733F6"/>
    <w:rsid w:val="00474E69"/>
    <w:rsid w:val="00493362"/>
    <w:rsid w:val="0049621B"/>
    <w:rsid w:val="004C1895"/>
    <w:rsid w:val="004C4532"/>
    <w:rsid w:val="004C6D40"/>
    <w:rsid w:val="004F0C3C"/>
    <w:rsid w:val="004F1D17"/>
    <w:rsid w:val="004F63FC"/>
    <w:rsid w:val="00505A92"/>
    <w:rsid w:val="005203F1"/>
    <w:rsid w:val="00521BC3"/>
    <w:rsid w:val="005315A2"/>
    <w:rsid w:val="00533632"/>
    <w:rsid w:val="00533D59"/>
    <w:rsid w:val="005340E3"/>
    <w:rsid w:val="00541E6E"/>
    <w:rsid w:val="0054251F"/>
    <w:rsid w:val="00544EAC"/>
    <w:rsid w:val="00551CE6"/>
    <w:rsid w:val="005520D8"/>
    <w:rsid w:val="00556CF1"/>
    <w:rsid w:val="005762A7"/>
    <w:rsid w:val="0059080E"/>
    <w:rsid w:val="005916D7"/>
    <w:rsid w:val="005A698C"/>
    <w:rsid w:val="005D0567"/>
    <w:rsid w:val="005E0799"/>
    <w:rsid w:val="005E1768"/>
    <w:rsid w:val="005F1BA2"/>
    <w:rsid w:val="005F5A80"/>
    <w:rsid w:val="006044FF"/>
    <w:rsid w:val="006047BC"/>
    <w:rsid w:val="00607CC5"/>
    <w:rsid w:val="00633014"/>
    <w:rsid w:val="0063437B"/>
    <w:rsid w:val="00640AA4"/>
    <w:rsid w:val="006608A7"/>
    <w:rsid w:val="00663999"/>
    <w:rsid w:val="00666D40"/>
    <w:rsid w:val="006673CA"/>
    <w:rsid w:val="00673C26"/>
    <w:rsid w:val="006812AF"/>
    <w:rsid w:val="0068327D"/>
    <w:rsid w:val="00694AF0"/>
    <w:rsid w:val="006A4686"/>
    <w:rsid w:val="006B0E9E"/>
    <w:rsid w:val="006B5AE4"/>
    <w:rsid w:val="006D1507"/>
    <w:rsid w:val="006D4054"/>
    <w:rsid w:val="006E02EC"/>
    <w:rsid w:val="006E54C4"/>
    <w:rsid w:val="0071288F"/>
    <w:rsid w:val="007211B1"/>
    <w:rsid w:val="0073223E"/>
    <w:rsid w:val="00746187"/>
    <w:rsid w:val="0076254F"/>
    <w:rsid w:val="00770EF8"/>
    <w:rsid w:val="007801F5"/>
    <w:rsid w:val="00783CA4"/>
    <w:rsid w:val="007842FB"/>
    <w:rsid w:val="00786124"/>
    <w:rsid w:val="00793E66"/>
    <w:rsid w:val="0079514B"/>
    <w:rsid w:val="007A2DC1"/>
    <w:rsid w:val="007D3319"/>
    <w:rsid w:val="007D335D"/>
    <w:rsid w:val="007E3314"/>
    <w:rsid w:val="007E4B03"/>
    <w:rsid w:val="007E7CC2"/>
    <w:rsid w:val="007F324B"/>
    <w:rsid w:val="0080553C"/>
    <w:rsid w:val="00805B46"/>
    <w:rsid w:val="00825DC2"/>
    <w:rsid w:val="00834AD3"/>
    <w:rsid w:val="008425DA"/>
    <w:rsid w:val="0084344D"/>
    <w:rsid w:val="00843795"/>
    <w:rsid w:val="00847F0F"/>
    <w:rsid w:val="00852448"/>
    <w:rsid w:val="008563DC"/>
    <w:rsid w:val="00865BC5"/>
    <w:rsid w:val="0088258A"/>
    <w:rsid w:val="008856C2"/>
    <w:rsid w:val="00886332"/>
    <w:rsid w:val="008A13C2"/>
    <w:rsid w:val="008A26D5"/>
    <w:rsid w:val="008A26D9"/>
    <w:rsid w:val="008B001E"/>
    <w:rsid w:val="008C0C29"/>
    <w:rsid w:val="008F11D0"/>
    <w:rsid w:val="008F3638"/>
    <w:rsid w:val="008F4441"/>
    <w:rsid w:val="008F6F31"/>
    <w:rsid w:val="008F74DF"/>
    <w:rsid w:val="009127BA"/>
    <w:rsid w:val="00915AA6"/>
    <w:rsid w:val="009227A6"/>
    <w:rsid w:val="00933EC1"/>
    <w:rsid w:val="009530DB"/>
    <w:rsid w:val="00953676"/>
    <w:rsid w:val="0095512A"/>
    <w:rsid w:val="009655CF"/>
    <w:rsid w:val="009705EE"/>
    <w:rsid w:val="00976D86"/>
    <w:rsid w:val="00977927"/>
    <w:rsid w:val="0098135C"/>
    <w:rsid w:val="0098156A"/>
    <w:rsid w:val="00985CF5"/>
    <w:rsid w:val="00991BAC"/>
    <w:rsid w:val="009959E5"/>
    <w:rsid w:val="009A5961"/>
    <w:rsid w:val="009A6EA0"/>
    <w:rsid w:val="009C1335"/>
    <w:rsid w:val="009C1AB2"/>
    <w:rsid w:val="009C7251"/>
    <w:rsid w:val="009E2E91"/>
    <w:rsid w:val="009F0BAA"/>
    <w:rsid w:val="00A117C2"/>
    <w:rsid w:val="00A139F5"/>
    <w:rsid w:val="00A14039"/>
    <w:rsid w:val="00A1504B"/>
    <w:rsid w:val="00A24587"/>
    <w:rsid w:val="00A365F4"/>
    <w:rsid w:val="00A47D80"/>
    <w:rsid w:val="00A53132"/>
    <w:rsid w:val="00A563F2"/>
    <w:rsid w:val="00A566E8"/>
    <w:rsid w:val="00A61932"/>
    <w:rsid w:val="00A810F9"/>
    <w:rsid w:val="00A86ECC"/>
    <w:rsid w:val="00A86FCC"/>
    <w:rsid w:val="00AA3ECA"/>
    <w:rsid w:val="00AA5033"/>
    <w:rsid w:val="00AA710D"/>
    <w:rsid w:val="00AB59D4"/>
    <w:rsid w:val="00AB5DFF"/>
    <w:rsid w:val="00AB6D25"/>
    <w:rsid w:val="00AC1D67"/>
    <w:rsid w:val="00AC2485"/>
    <w:rsid w:val="00AC3FCE"/>
    <w:rsid w:val="00AE2D4B"/>
    <w:rsid w:val="00AE4F99"/>
    <w:rsid w:val="00B12859"/>
    <w:rsid w:val="00B1321E"/>
    <w:rsid w:val="00B14952"/>
    <w:rsid w:val="00B31E5A"/>
    <w:rsid w:val="00B378AA"/>
    <w:rsid w:val="00B653AB"/>
    <w:rsid w:val="00B65F9E"/>
    <w:rsid w:val="00B66B19"/>
    <w:rsid w:val="00B914E9"/>
    <w:rsid w:val="00B93952"/>
    <w:rsid w:val="00B956EE"/>
    <w:rsid w:val="00BA2BA1"/>
    <w:rsid w:val="00BA34CD"/>
    <w:rsid w:val="00BB4F09"/>
    <w:rsid w:val="00BC39B4"/>
    <w:rsid w:val="00BC4C29"/>
    <w:rsid w:val="00BD4E33"/>
    <w:rsid w:val="00BD513C"/>
    <w:rsid w:val="00BD7971"/>
    <w:rsid w:val="00BE13B8"/>
    <w:rsid w:val="00BF0FC9"/>
    <w:rsid w:val="00C030DE"/>
    <w:rsid w:val="00C06BF5"/>
    <w:rsid w:val="00C22105"/>
    <w:rsid w:val="00C244B6"/>
    <w:rsid w:val="00C3685D"/>
    <w:rsid w:val="00C3702F"/>
    <w:rsid w:val="00C435D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B07"/>
    <w:rsid w:val="00C96FAA"/>
    <w:rsid w:val="00C97A04"/>
    <w:rsid w:val="00CA107B"/>
    <w:rsid w:val="00CA484D"/>
    <w:rsid w:val="00CA4FB6"/>
    <w:rsid w:val="00CB2F8B"/>
    <w:rsid w:val="00CB41A7"/>
    <w:rsid w:val="00CB5EC9"/>
    <w:rsid w:val="00CC739E"/>
    <w:rsid w:val="00CD58B7"/>
    <w:rsid w:val="00CF4099"/>
    <w:rsid w:val="00CF49BE"/>
    <w:rsid w:val="00D00796"/>
    <w:rsid w:val="00D0592B"/>
    <w:rsid w:val="00D240E4"/>
    <w:rsid w:val="00D261A2"/>
    <w:rsid w:val="00D30555"/>
    <w:rsid w:val="00D616D2"/>
    <w:rsid w:val="00D63B5F"/>
    <w:rsid w:val="00D64203"/>
    <w:rsid w:val="00D70EF7"/>
    <w:rsid w:val="00D75BB2"/>
    <w:rsid w:val="00D8397C"/>
    <w:rsid w:val="00D94EED"/>
    <w:rsid w:val="00D96026"/>
    <w:rsid w:val="00D976F5"/>
    <w:rsid w:val="00DA7013"/>
    <w:rsid w:val="00DA7C1C"/>
    <w:rsid w:val="00DB147A"/>
    <w:rsid w:val="00DB1B7A"/>
    <w:rsid w:val="00DB4DB8"/>
    <w:rsid w:val="00DC6708"/>
    <w:rsid w:val="00DD3558"/>
    <w:rsid w:val="00DF25B5"/>
    <w:rsid w:val="00DF7F93"/>
    <w:rsid w:val="00E01436"/>
    <w:rsid w:val="00E045BD"/>
    <w:rsid w:val="00E0767A"/>
    <w:rsid w:val="00E17B77"/>
    <w:rsid w:val="00E23337"/>
    <w:rsid w:val="00E25592"/>
    <w:rsid w:val="00E259EA"/>
    <w:rsid w:val="00E25C43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5063"/>
    <w:rsid w:val="00E76D26"/>
    <w:rsid w:val="00E823DF"/>
    <w:rsid w:val="00E83234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670E8"/>
    <w:rsid w:val="00F67D8F"/>
    <w:rsid w:val="00F802BE"/>
    <w:rsid w:val="00F803DE"/>
    <w:rsid w:val="00F86024"/>
    <w:rsid w:val="00F8611A"/>
    <w:rsid w:val="00FA0B7C"/>
    <w:rsid w:val="00FA4729"/>
    <w:rsid w:val="00FA5128"/>
    <w:rsid w:val="00FB42D4"/>
    <w:rsid w:val="00FB5906"/>
    <w:rsid w:val="00FB762F"/>
    <w:rsid w:val="00FC2AED"/>
    <w:rsid w:val="00FD5EA7"/>
    <w:rsid w:val="00FD670D"/>
    <w:rsid w:val="00FE55C3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584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6BF5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7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74"/>
    <w:rPr>
      <w:rFonts w:ascii="Fira Sans" w:hAnsi="Fira Sans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076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s/glossary/terms-used-in-official-statistics/613,term.html" TargetMode="External"/><Relationship Id="rId39" Type="http://schemas.openxmlformats.org/officeDocument/2006/relationships/hyperlink" Target="https://stat.gov.pl/en/metainformations/glossary/terms-used-in-official-statistics/128,term.html" TargetMode="External"/><Relationship Id="rId21" Type="http://schemas.openxmlformats.org/officeDocument/2006/relationships/hyperlink" Target="https://stat.gov.pl/en/topics/culture-tourism-sport/culture/financial-results-of-cultural-institutions-in-period-january-december-2020,13,16.html" TargetMode="External"/><Relationship Id="rId34" Type="http://schemas.openxmlformats.org/officeDocument/2006/relationships/hyperlink" Target="https://stat.gov.pl/en/metainformations/glossary/terms-used-in-official-statistics/158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s/glossary/terms-used-in-official-statistics/229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metainformations/glossary/terms-used-in-official-statistics/395,term.html" TargetMode="External"/><Relationship Id="rId32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7" Type="http://schemas.openxmlformats.org/officeDocument/2006/relationships/hyperlink" Target="https://stat.gov.pl/en/metainformations/glossary/terms-used-in-official-statistics/223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hyperlink" Target="https://stat.gov.pl/en/metainformations/glossary/terms-used-in-official-statistics/223,term.html" TargetMode="External"/><Relationship Id="rId36" Type="http://schemas.openxmlformats.org/officeDocument/2006/relationships/hyperlink" Target="https://stat.gov.pl/en/metainformations/glossary/terms-used-in-official-statistics/61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s://stat.gov.pl/en/topics/culture-tourism-sport/culture/financial-results-of-cultural-institutions-in-period-january-december-2020,13,16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culture-tourism-sport/culture/financial-results-of-cultural-institutions-in-1st-half-of-2020,13,14.html" TargetMode="External"/><Relationship Id="rId27" Type="http://schemas.openxmlformats.org/officeDocument/2006/relationships/hyperlink" Target="https://stat.gov.pl/en/metainformations/glossary/terms-used-in-official-statistics/615,term.html" TargetMode="External"/><Relationship Id="rId30" Type="http://schemas.openxmlformats.org/officeDocument/2006/relationships/hyperlink" Target="https://stat.gov.pl/en/metainformations/glossary/terms-used-in-official-statistics/128,term.html" TargetMode="External"/><Relationship Id="rId35" Type="http://schemas.openxmlformats.org/officeDocument/2006/relationships/hyperlink" Target="https://stat.gov.pl/en/metainformations/glossary/terms-used-in-official-statistics/613,term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158,term.html" TargetMode="External"/><Relationship Id="rId33" Type="http://schemas.openxmlformats.org/officeDocument/2006/relationships/hyperlink" Target="https://stat.gov.pl/en/metainformations/glossary/terms-used-in-official-statistics/395,term.html" TargetMode="External"/><Relationship Id="rId38" Type="http://schemas.openxmlformats.org/officeDocument/2006/relationships/hyperlink" Target="https://stat.gov.pl/en/metainformations/glossary/terms-used-in-official-statistics/22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Wyniki%20finansowe%20instytucji%20kultury%20w%202021%20r.%20(I,%20II,%20III%20kwarta&#322;)\I%20kwarta&#322;%202021\Wykres_I%20kw.%202021%20r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59424603174606"/>
          <c:y val="0.14531080607076563"/>
          <c:w val="0.40323035714285721"/>
          <c:h val="0.70300757081510634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41.0%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32.5%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25.7%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9225595238095237E-2"/>
                  <c:y val="-7.46703896932308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Arkusz1!$F$7:$F$10</c:f>
              <c:strCache>
                <c:ptCount val="4"/>
                <c:pt idx="0">
                  <c:v>gminnas cultural institution</c:v>
                </c:pt>
                <c:pt idx="1">
                  <c:v>national cultural institutions</c:v>
                </c:pt>
                <c:pt idx="2">
                  <c:v>voivodships cultural institutions</c:v>
                </c:pt>
                <c:pt idx="3">
                  <c:v>powiats cultural institutions</c:v>
                </c:pt>
              </c:strCache>
            </c:strRef>
          </c:cat>
          <c:val>
            <c:numRef>
              <c:f>Arkusz1!$I$7:$I$10</c:f>
              <c:numCache>
                <c:formatCode>0.0</c:formatCode>
                <c:ptCount val="4"/>
                <c:pt idx="0">
                  <c:v>41</c:v>
                </c:pt>
                <c:pt idx="1">
                  <c:v>32.495682159454439</c:v>
                </c:pt>
                <c:pt idx="2">
                  <c:v>25.689815831488481</c:v>
                </c:pt>
                <c:pt idx="3">
                  <c:v>0.76029604657926131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082023809523814"/>
          <c:y val="0.25394677944595995"/>
          <c:w val="0.31886230158730161"/>
          <c:h val="0.474533681928907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 results of cultural institutions from January to December 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05F22FA-B72E-42A7-B713-7AF469C0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4B523-E775-478C-960E-32ED67D6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Karczmarski Jacek</cp:lastModifiedBy>
  <cp:revision>12</cp:revision>
  <cp:lastPrinted>2021-03-19T05:30:00Z</cp:lastPrinted>
  <dcterms:created xsi:type="dcterms:W3CDTF">2021-06-17T13:33:00Z</dcterms:created>
  <dcterms:modified xsi:type="dcterms:W3CDTF">2021-06-23T13:01:00Z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