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E5157" w14:textId="6B5CE9A2" w:rsidR="00DF42C0" w:rsidRPr="0014154D" w:rsidRDefault="00DF42C0" w:rsidP="00DF42C0">
      <w:pPr>
        <w:pStyle w:val="Tytuinfomacjisygnalnej"/>
        <w:rPr>
          <w:lang w:val="en-GB"/>
        </w:rPr>
      </w:pPr>
      <w:bookmarkStart w:id="0" w:name="_GoBack"/>
      <w:r w:rsidRPr="0014154D">
        <w:rPr>
          <w:rFonts w:cs="Fira Sans Extra Condensed SemiB"/>
          <w:bCs/>
          <w:spacing w:val="-2"/>
          <w:szCs w:val="40"/>
          <w:lang w:val="en-GB"/>
        </w:rPr>
        <w:t>Financial results of cultural institutions in the first quarter of 2024</w:t>
      </w:r>
    </w:p>
    <w:p w14:paraId="57FB7B71" w14:textId="76DE6E18" w:rsidR="003521FF" w:rsidRPr="0014154D" w:rsidRDefault="009722FC" w:rsidP="00D2742F">
      <w:pPr>
        <w:pStyle w:val="LID"/>
        <w:spacing w:before="720" w:after="720"/>
        <w:rPr>
          <w:lang w:val="en-GB"/>
        </w:rPr>
      </w:pPr>
      <w:r w:rsidRPr="0014154D">
        <w:rPr>
          <w:color w:val="001D77"/>
          <w:lang w:val="en-GB"/>
        </w:rPr>
        <mc:AlternateContent>
          <mc:Choice Requires="wps">
            <w:drawing>
              <wp:anchor distT="45720" distB="45720" distL="114300" distR="114300" simplePos="0" relativeHeight="251784192" behindDoc="0" locked="0" layoutInCell="1" allowOverlap="1" wp14:anchorId="309455C4" wp14:editId="153AB0CB">
                <wp:simplePos x="0" y="0"/>
                <wp:positionH relativeFrom="margin">
                  <wp:align>left</wp:align>
                </wp:positionH>
                <wp:positionV relativeFrom="paragraph">
                  <wp:posOffset>6985</wp:posOffset>
                </wp:positionV>
                <wp:extent cx="2028825" cy="1095375"/>
                <wp:effectExtent l="0" t="0" r="9525" b="9525"/>
                <wp:wrapSquare wrapText="bothSides"/>
                <wp:docPr id="3" name="Pole tekstowe 2" descr="Arrow icon pointing upwards, presenting 18.6% increase in the total revenues in comparison to the first quarter of 2023&#10;&#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095375"/>
                        </a:xfrm>
                        <a:prstGeom prst="roundRect">
                          <a:avLst/>
                        </a:prstGeom>
                        <a:solidFill>
                          <a:srgbClr val="001D77"/>
                        </a:solidFill>
                        <a:ln w="9525">
                          <a:noFill/>
                          <a:miter lim="800000"/>
                          <a:headEnd/>
                          <a:tailEnd/>
                        </a:ln>
                      </wps:spPr>
                      <wps:txbx>
                        <w:txbxContent>
                          <w:p w14:paraId="0321F3D8" w14:textId="4BAC30AE" w:rsidR="00187DDC" w:rsidRPr="00187DDC" w:rsidRDefault="00187DDC" w:rsidP="00187DDC">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Pr="00187DDC">
                              <w:rPr>
                                <w:rStyle w:val="WartowskanikaZnak"/>
                                <w:lang w:val="en-GB"/>
                              </w:rPr>
                              <w:t xml:space="preserve"> </w:t>
                            </w:r>
                            <w:r w:rsidR="00D2742F">
                              <w:rPr>
                                <w:rStyle w:val="WartowskanikaZnak"/>
                                <w:sz w:val="72"/>
                                <w:szCs w:val="72"/>
                                <w:lang w:val="en-GB"/>
                              </w:rPr>
                              <w:t>18.6</w:t>
                            </w:r>
                            <w:r w:rsidRPr="00187DDC">
                              <w:rPr>
                                <w:rStyle w:val="WartowskanikaZnak"/>
                                <w:sz w:val="72"/>
                                <w:szCs w:val="72"/>
                                <w:lang w:val="en-GB"/>
                              </w:rPr>
                              <w:t>%</w:t>
                            </w:r>
                          </w:p>
                          <w:p w14:paraId="0DDCF047" w14:textId="01525DE5" w:rsidR="00622CD3" w:rsidRPr="00682CDE" w:rsidRDefault="00D2742F" w:rsidP="00622CD3">
                            <w:pPr>
                              <w:autoSpaceDE w:val="0"/>
                              <w:autoSpaceDN w:val="0"/>
                              <w:adjustRightInd w:val="0"/>
                              <w:spacing w:before="0" w:after="0" w:line="240" w:lineRule="auto"/>
                              <w:rPr>
                                <w:lang w:val="en-GB"/>
                              </w:rPr>
                            </w:pPr>
                            <w:r>
                              <w:rPr>
                                <w:lang w:val="en-GB"/>
                              </w:rPr>
                              <w:t>Total revenues</w:t>
                            </w:r>
                            <w:r w:rsidR="003C5274">
                              <w:rPr>
                                <w:lang w:val="en-GB"/>
                              </w:rPr>
                              <w:t xml:space="preserve"> increased </w:t>
                            </w:r>
                            <w:r w:rsidR="00CE59A9">
                              <w:rPr>
                                <w:lang w:val="en-GB"/>
                              </w:rPr>
                              <w:t>y/y</w:t>
                            </w:r>
                          </w:p>
                          <w:p w14:paraId="569EB95B" w14:textId="796E0C5B" w:rsidR="00241FA7" w:rsidRPr="00F16692" w:rsidRDefault="00241FA7" w:rsidP="00622CD3">
                            <w:pPr>
                              <w:pStyle w:val="Opiswskanika"/>
                              <w:spacing w:before="120"/>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9455C4" id="Pole tekstowe 2" o:spid="_x0000_s1026" alt="Arrow icon pointing upwards, presenting 18.6% increase in the total revenues in comparison to the first quarter of 2023&#10;&#10;&#10;&#10;&#10;" style="position:absolute;margin-left:0;margin-top:.55pt;width:159.75pt;height:86.25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" fillcolor="#001d77" stroked="f">
                <v:stroke joinstyle="miter"/>
                <v:textbox>
                  <w:txbxContent>
                    <w:p w14:paraId="0321F3D8" w14:textId="4BAC30AE" w:rsidR="00187DDC" w:rsidRPr="00187DDC" w:rsidRDefault="00187DDC" w:rsidP="00187DDC">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Pr="00187DDC">
                        <w:rPr>
                          <w:rStyle w:val="WartowskanikaZnak"/>
                          <w:lang w:val="en-GB"/>
                        </w:rPr>
                        <w:t xml:space="preserve"> </w:t>
                      </w:r>
                      <w:r w:rsidR="00D2742F">
                        <w:rPr>
                          <w:rStyle w:val="WartowskanikaZnak"/>
                          <w:sz w:val="72"/>
                          <w:szCs w:val="72"/>
                          <w:lang w:val="en-GB"/>
                        </w:rPr>
                        <w:t>18.6</w:t>
                      </w:r>
                      <w:r w:rsidRPr="00187DDC">
                        <w:rPr>
                          <w:rStyle w:val="WartowskanikaZnak"/>
                          <w:sz w:val="72"/>
                          <w:szCs w:val="72"/>
                          <w:lang w:val="en-GB"/>
                        </w:rPr>
                        <w:t>%</w:t>
                      </w:r>
                    </w:p>
                    <w:p w14:paraId="0DDCF047" w14:textId="01525DE5" w:rsidR="00622CD3" w:rsidRPr="00682CDE" w:rsidRDefault="00D2742F" w:rsidP="00622CD3">
                      <w:pPr>
                        <w:autoSpaceDE w:val="0"/>
                        <w:autoSpaceDN w:val="0"/>
                        <w:adjustRightInd w:val="0"/>
                        <w:spacing w:before="0" w:after="0" w:line="240" w:lineRule="auto"/>
                        <w:rPr>
                          <w:lang w:val="en-GB"/>
                        </w:rPr>
                      </w:pPr>
                      <w:r>
                        <w:rPr>
                          <w:lang w:val="en-GB"/>
                        </w:rPr>
                        <w:t>Total revenues</w:t>
                      </w:r>
                      <w:r w:rsidR="003C5274">
                        <w:rPr>
                          <w:lang w:val="en-GB"/>
                        </w:rPr>
                        <w:t xml:space="preserve"> increased </w:t>
                      </w:r>
                      <w:r w:rsidR="00CE59A9">
                        <w:rPr>
                          <w:lang w:val="en-GB"/>
                        </w:rPr>
                        <w:t>y/y</w:t>
                      </w:r>
                    </w:p>
                    <w:p w14:paraId="569EB95B" w14:textId="796E0C5B" w:rsidR="00241FA7" w:rsidRPr="00F16692" w:rsidRDefault="00241FA7" w:rsidP="00622CD3">
                      <w:pPr>
                        <w:pStyle w:val="Opiswskanika"/>
                        <w:spacing w:before="120"/>
                        <w:rPr>
                          <w:sz w:val="18"/>
                          <w:szCs w:val="20"/>
                          <w:lang w:val="en-US"/>
                        </w:rPr>
                      </w:pPr>
                    </w:p>
                  </w:txbxContent>
                </v:textbox>
                <w10:wrap type="square" anchorx="margin"/>
              </v:roundrect>
            </w:pict>
          </mc:Fallback>
        </mc:AlternateContent>
      </w:r>
      <w:r w:rsidR="00D2742F" w:rsidRPr="0014154D">
        <w:rPr>
          <w:shd w:val="clear" w:color="auto" w:fill="FFFFFF"/>
          <w:lang w:val="en-GB"/>
        </w:rPr>
        <w:t>In the first quarter of 2024, the financial results of cultural institutions increased compared to those obtained in the co</w:t>
      </w:r>
      <w:r w:rsidR="00305C4B" w:rsidRPr="0014154D">
        <w:rPr>
          <w:shd w:val="clear" w:color="auto" w:fill="FFFFFF"/>
          <w:lang w:val="en-GB"/>
        </w:rPr>
        <w:t>rresponding period of the previo</w:t>
      </w:r>
      <w:r w:rsidR="00D2742F" w:rsidRPr="0014154D">
        <w:rPr>
          <w:shd w:val="clear" w:color="auto" w:fill="FFFFFF"/>
          <w:lang w:val="en-GB"/>
        </w:rPr>
        <w:t>us year. Both total revenues and total costs increased by 18.6%</w:t>
      </w:r>
      <w:r w:rsidR="00D9287C" w:rsidRPr="0014154D">
        <w:rPr>
          <w:shd w:val="clear" w:color="auto" w:fill="FFFFFF"/>
          <w:lang w:val="en-GB"/>
        </w:rPr>
        <w:t xml:space="preserve"> </w:t>
      </w:r>
      <w:r w:rsidR="00C750AB" w:rsidRPr="0014154D">
        <w:rPr>
          <w:shd w:val="clear" w:color="auto" w:fill="FFFFFF"/>
          <w:lang w:val="en-GB"/>
        </w:rPr>
        <w:t>and</w:t>
      </w:r>
      <w:r w:rsidR="00D2742F" w:rsidRPr="0014154D">
        <w:rPr>
          <w:shd w:val="clear" w:color="auto" w:fill="FFFFFF"/>
          <w:lang w:val="en-GB"/>
        </w:rPr>
        <w:t xml:space="preserve"> investment outlays by 19.0% during this period.</w:t>
      </w:r>
    </w:p>
    <w:p w14:paraId="589FF292" w14:textId="5D2E72C5" w:rsidR="00556A9E" w:rsidRPr="0014154D" w:rsidRDefault="00556A9E" w:rsidP="00556A9E">
      <w:pPr>
        <w:spacing w:before="240" w:line="288" w:lineRule="auto"/>
        <w:rPr>
          <w:lang w:val="en-GB"/>
        </w:rPr>
      </w:pPr>
      <w:r w:rsidRPr="0014154D">
        <w:rPr>
          <w:lang w:val="en-GB"/>
        </w:rPr>
        <w:t xml:space="preserve">In the first quarter of 2024, total revenues of cultural institutions amounted to PLN 3,812.3 million, and were higher by 18.6% in comparison to the first quarter of 2023. The structure of the revenues was composed of net revenues from sales of products, goods and materials (93.6%), other operating revenues (6.2%) and financial revenues (0.2%). More than 25% of the total revenues were total revenues of cultural institutions from </w:t>
      </w:r>
      <w:proofErr w:type="spellStart"/>
      <w:r w:rsidRPr="0014154D">
        <w:rPr>
          <w:lang w:val="en-GB"/>
        </w:rPr>
        <w:t>Mazowieckie</w:t>
      </w:r>
      <w:proofErr w:type="spellEnd"/>
      <w:r w:rsidRPr="0014154D">
        <w:rPr>
          <w:lang w:val="en-GB"/>
        </w:rPr>
        <w:t xml:space="preserve"> Voivodship.</w:t>
      </w:r>
    </w:p>
    <w:p w14:paraId="7C3D73F9" w14:textId="67EDC4AF" w:rsidR="00E4286D" w:rsidRPr="0014154D" w:rsidRDefault="00E4286D" w:rsidP="00E4286D">
      <w:pPr>
        <w:spacing w:before="240" w:line="288" w:lineRule="auto"/>
        <w:rPr>
          <w:lang w:val="en-GB"/>
        </w:rPr>
      </w:pPr>
      <w:r w:rsidRPr="0014154D">
        <w:rPr>
          <w:noProof/>
          <w:lang w:val="en-GB" w:eastAsia="pl-PL"/>
        </w:rPr>
        <mc:AlternateContent>
          <mc:Choice Requires="wps">
            <w:drawing>
              <wp:anchor distT="45720" distB="45720" distL="114300" distR="114300" simplePos="0" relativeHeight="251880448" behindDoc="1" locked="0" layoutInCell="1" allowOverlap="1" wp14:anchorId="20879E7F" wp14:editId="76C5B722">
                <wp:simplePos x="0" y="0"/>
                <wp:positionH relativeFrom="page">
                  <wp:posOffset>5758815</wp:posOffset>
                </wp:positionH>
                <wp:positionV relativeFrom="paragraph">
                  <wp:posOffset>226695</wp:posOffset>
                </wp:positionV>
                <wp:extent cx="1725295" cy="1038225"/>
                <wp:effectExtent l="0" t="0" r="0" b="0"/>
                <wp:wrapTight wrapText="bothSides">
                  <wp:wrapPolygon edited="0">
                    <wp:start x="715" y="0"/>
                    <wp:lineTo x="715" y="21006"/>
                    <wp:lineTo x="20749" y="21006"/>
                    <wp:lineTo x="20749" y="0"/>
                    <wp:lineTo x="715" y="0"/>
                  </wp:wrapPolygon>
                </wp:wrapTight>
                <wp:docPr id="22" name="Pole tekstowe 22" descr="Total revenues of gminas local cultural institutions in the first quarter of 2024 amounted to PLN 2,203.8 mill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38225"/>
                        </a:xfrm>
                        <a:prstGeom prst="rect">
                          <a:avLst/>
                        </a:prstGeom>
                        <a:noFill/>
                        <a:ln w="9525">
                          <a:noFill/>
                          <a:miter lim="800000"/>
                          <a:headEnd/>
                          <a:tailEnd/>
                        </a:ln>
                      </wps:spPr>
                      <wps:txbx>
                        <w:txbxContent>
                          <w:p w14:paraId="17A6BBCE" w14:textId="39CFCEA5" w:rsidR="00556A9E" w:rsidRPr="00573BEA" w:rsidRDefault="00556A9E" w:rsidP="00556A9E">
                            <w:pPr>
                              <w:pStyle w:val="tekstzboku"/>
                              <w:rPr>
                                <w:sz w:val="19"/>
                                <w:szCs w:val="19"/>
                                <w:lang w:val="en-GB"/>
                              </w:rPr>
                            </w:pPr>
                            <w:r w:rsidRPr="00573BEA">
                              <w:rPr>
                                <w:sz w:val="19"/>
                                <w:szCs w:val="19"/>
                                <w:lang w:val="en-GB"/>
                              </w:rPr>
                              <w:t xml:space="preserve">Total revenues of </w:t>
                            </w:r>
                            <w:proofErr w:type="spellStart"/>
                            <w:r w:rsidRPr="00573BEA">
                              <w:rPr>
                                <w:sz w:val="19"/>
                                <w:szCs w:val="19"/>
                                <w:lang w:val="en-GB"/>
                              </w:rPr>
                              <w:t>gminas</w:t>
                            </w:r>
                            <w:proofErr w:type="spellEnd"/>
                            <w:r w:rsidRPr="00573BEA">
                              <w:rPr>
                                <w:sz w:val="19"/>
                                <w:szCs w:val="19"/>
                                <w:lang w:val="en-GB"/>
                              </w:rPr>
                              <w:t xml:space="preserve"> local cultural institutions in the first quarter of 2024 amounted to PLN 2,203.8 million</w:t>
                            </w:r>
                          </w:p>
                          <w:p w14:paraId="69331966" w14:textId="689AD9E9" w:rsidR="00DF7BB9" w:rsidRPr="002861CD" w:rsidRDefault="00DF7BB9" w:rsidP="00DF7BB9">
                            <w:pPr>
                              <w:rPr>
                                <w:rFonts w:eastAsia="Times New Roman" w:cs="Times New Roman"/>
                                <w:bCs/>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79E7F" id="_x0000_t202" coordsize="21600,21600" o:spt="202" path="m,l,21600r21600,l21600,xe">
                <v:stroke joinstyle="miter"/>
                <v:path gradientshapeok="t" o:connecttype="rect"/>
              </v:shapetype>
              <v:shape id="Pole tekstowe 22" o:spid="_x0000_s1027" type="#_x0000_t202" alt="Total revenues of gminas local cultural institutions in the first quarter of 2024 amounted to PLN 2,203.8 million" style="position:absolute;margin-left:453.45pt;margin-top:17.85pt;width:135.85pt;height:81.75pt;z-index:-2514360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" filled="f" stroked="f">
                <v:textbox>
                  <w:txbxContent>
                    <w:p w14:paraId="17A6BBCE" w14:textId="39CFCEA5" w:rsidR="00556A9E" w:rsidRPr="00573BEA" w:rsidRDefault="00556A9E" w:rsidP="00556A9E">
                      <w:pPr>
                        <w:pStyle w:val="tekstzboku"/>
                        <w:rPr>
                          <w:sz w:val="19"/>
                          <w:szCs w:val="19"/>
                          <w:lang w:val="en-GB"/>
                        </w:rPr>
                      </w:pPr>
                      <w:r w:rsidRPr="00573BEA">
                        <w:rPr>
                          <w:sz w:val="19"/>
                          <w:szCs w:val="19"/>
                          <w:lang w:val="en-GB"/>
                        </w:rPr>
                        <w:t xml:space="preserve">Total revenues of </w:t>
                      </w:r>
                      <w:proofErr w:type="spellStart"/>
                      <w:r w:rsidRPr="00573BEA">
                        <w:rPr>
                          <w:sz w:val="19"/>
                          <w:szCs w:val="19"/>
                          <w:lang w:val="en-GB"/>
                        </w:rPr>
                        <w:t>gminas</w:t>
                      </w:r>
                      <w:proofErr w:type="spellEnd"/>
                      <w:r w:rsidRPr="00573BEA">
                        <w:rPr>
                          <w:sz w:val="19"/>
                          <w:szCs w:val="19"/>
                          <w:lang w:val="en-GB"/>
                        </w:rPr>
                        <w:t xml:space="preserve"> local cultural institutions in the first quarter of 2024 amounted to PLN 2,203.8 million</w:t>
                      </w:r>
                    </w:p>
                    <w:p w14:paraId="69331966" w14:textId="689AD9E9" w:rsidR="00DF7BB9" w:rsidRPr="002861CD" w:rsidRDefault="00DF7BB9" w:rsidP="00DF7BB9">
                      <w:pPr>
                        <w:rPr>
                          <w:rFonts w:eastAsia="Times New Roman" w:cs="Times New Roman"/>
                          <w:bCs/>
                          <w:color w:val="001D77"/>
                          <w:sz w:val="18"/>
                          <w:szCs w:val="18"/>
                          <w:lang w:val="en-GB" w:eastAsia="pl-PL"/>
                        </w:rPr>
                      </w:pPr>
                    </w:p>
                  </w:txbxContent>
                </v:textbox>
                <w10:wrap type="tight" anchorx="page"/>
              </v:shape>
            </w:pict>
          </mc:Fallback>
        </mc:AlternateContent>
      </w:r>
      <w:r w:rsidRPr="0014154D">
        <w:rPr>
          <w:lang w:val="en-GB"/>
        </w:rPr>
        <w:t xml:space="preserve">On average total revenues per one cultural institution amounted to PLN 810.4 thousand. The highest total revenues per one institution were achieved by cultural institutions in </w:t>
      </w:r>
      <w:proofErr w:type="spellStart"/>
      <w:r w:rsidRPr="0014154D">
        <w:rPr>
          <w:lang w:val="en-GB"/>
        </w:rPr>
        <w:t>Mazowieckie</w:t>
      </w:r>
      <w:proofErr w:type="spellEnd"/>
      <w:r w:rsidRPr="0014154D">
        <w:rPr>
          <w:lang w:val="en-GB"/>
        </w:rPr>
        <w:t xml:space="preserve"> Voivodship – PLN 1,473.1 thousand and the lowest in </w:t>
      </w:r>
      <w:proofErr w:type="spellStart"/>
      <w:r w:rsidRPr="0014154D">
        <w:rPr>
          <w:lang w:val="en-GB"/>
        </w:rPr>
        <w:t>Lubelskie</w:t>
      </w:r>
      <w:proofErr w:type="spellEnd"/>
      <w:r w:rsidRPr="0014154D">
        <w:rPr>
          <w:lang w:val="en-GB"/>
        </w:rPr>
        <w:t xml:space="preserve"> Voivodship – PLN 391.7 thousand. Total revenues of local government cultural institutions amounted to PLN 3,157.9 million (82.8%), while total revenues of national cultural institutions amounted to PLN 654.4 million (17.2%). </w:t>
      </w:r>
      <w:r w:rsidR="00414460" w:rsidRPr="0014154D">
        <w:rPr>
          <w:lang w:val="en-GB"/>
        </w:rPr>
        <w:t>T</w:t>
      </w:r>
      <w:r w:rsidRPr="0014154D">
        <w:rPr>
          <w:lang w:val="en-GB"/>
        </w:rPr>
        <w:t>he largest share in total revenues of all cultural institutions</w:t>
      </w:r>
      <w:r w:rsidR="00414460" w:rsidRPr="0014154D">
        <w:rPr>
          <w:lang w:val="en-GB"/>
        </w:rPr>
        <w:t xml:space="preserve"> had the entities conducting operation of arts facilities</w:t>
      </w:r>
      <w:r w:rsidRPr="0014154D">
        <w:rPr>
          <w:lang w:val="en-GB"/>
        </w:rPr>
        <w:t xml:space="preserve"> </w:t>
      </w:r>
      <w:r w:rsidR="00414460" w:rsidRPr="0014154D">
        <w:rPr>
          <w:lang w:val="en-GB"/>
        </w:rPr>
        <w:t>– 41</w:t>
      </w:r>
      <w:r w:rsidRPr="0014154D">
        <w:rPr>
          <w:lang w:val="en-GB"/>
        </w:rPr>
        <w:t>.1%.</w:t>
      </w:r>
    </w:p>
    <w:p w14:paraId="5D96D75D" w14:textId="5FD04965" w:rsidR="00414460" w:rsidRPr="0014154D" w:rsidRDefault="00A628CB" w:rsidP="00414460">
      <w:pPr>
        <w:spacing w:line="288" w:lineRule="auto"/>
        <w:rPr>
          <w:lang w:val="en-GB"/>
        </w:rPr>
      </w:pPr>
      <w:r w:rsidRPr="0014154D">
        <w:rPr>
          <w:b/>
          <w:noProof/>
          <w:lang w:val="en-GB" w:eastAsia="pl-PL"/>
        </w:rPr>
        <mc:AlternateContent>
          <mc:Choice Requires="wps">
            <w:drawing>
              <wp:anchor distT="45720" distB="45720" distL="114300" distR="114300" simplePos="0" relativeHeight="251882496" behindDoc="1" locked="0" layoutInCell="1" allowOverlap="1" wp14:anchorId="7ED102BE" wp14:editId="50A65A06">
                <wp:simplePos x="0" y="0"/>
                <wp:positionH relativeFrom="column">
                  <wp:posOffset>5282565</wp:posOffset>
                </wp:positionH>
                <wp:positionV relativeFrom="paragraph">
                  <wp:posOffset>997255</wp:posOffset>
                </wp:positionV>
                <wp:extent cx="1725295" cy="1078230"/>
                <wp:effectExtent l="0" t="0" r="0" b="0"/>
                <wp:wrapTight wrapText="bothSides">
                  <wp:wrapPolygon edited="0">
                    <wp:start x="715" y="0"/>
                    <wp:lineTo x="715" y="20989"/>
                    <wp:lineTo x="20749" y="20989"/>
                    <wp:lineTo x="20749" y="0"/>
                    <wp:lineTo x="715" y="0"/>
                  </wp:wrapPolygon>
                </wp:wrapTight>
                <wp:docPr id="4" name="Pole tekstowe 4" descr="Net financial result of cultural institution in the first quarter of 2024 amounted to PLN 353.8 mill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78230"/>
                        </a:xfrm>
                        <a:prstGeom prst="rect">
                          <a:avLst/>
                        </a:prstGeom>
                        <a:noFill/>
                        <a:ln w="9525">
                          <a:noFill/>
                          <a:miter lim="800000"/>
                          <a:headEnd/>
                          <a:tailEnd/>
                        </a:ln>
                      </wps:spPr>
                      <wps:txbx>
                        <w:txbxContent>
                          <w:p w14:paraId="13CD3B57" w14:textId="1CCBE2BB" w:rsidR="00414460" w:rsidRPr="00573BEA" w:rsidRDefault="00414460" w:rsidP="00414460">
                            <w:pPr>
                              <w:pStyle w:val="tekstzboku"/>
                              <w:rPr>
                                <w:sz w:val="19"/>
                                <w:szCs w:val="19"/>
                                <w:lang w:val="en-GB"/>
                              </w:rPr>
                            </w:pPr>
                            <w:r w:rsidRPr="00573BEA">
                              <w:rPr>
                                <w:sz w:val="19"/>
                                <w:szCs w:val="19"/>
                                <w:lang w:val="en-GB"/>
                              </w:rPr>
                              <w:t>Net financial result of cultural institution in the first quarter of 2024 amounted to PLN 353.8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102BE" id="Pole tekstowe 4" o:spid="_x0000_s1028" type="#_x0000_t202" alt="Net financial result of cultural institution in the first quarter of 2024 amounted to PLN 353.8 million" style="position:absolute;margin-left:415.95pt;margin-top:78.5pt;width:135.85pt;height:84.9pt;z-index:-25143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" filled="f" stroked="f">
                <v:textbox>
                  <w:txbxContent>
                    <w:p w14:paraId="13CD3B57" w14:textId="1CCBE2BB" w:rsidR="00414460" w:rsidRPr="00573BEA" w:rsidRDefault="00414460" w:rsidP="00414460">
                      <w:pPr>
                        <w:pStyle w:val="tekstzboku"/>
                        <w:rPr>
                          <w:sz w:val="19"/>
                          <w:szCs w:val="19"/>
                          <w:lang w:val="en-GB"/>
                        </w:rPr>
                      </w:pPr>
                      <w:r w:rsidRPr="00573BEA">
                        <w:rPr>
                          <w:sz w:val="19"/>
                          <w:szCs w:val="19"/>
                          <w:lang w:val="en-GB"/>
                        </w:rPr>
                        <w:t>Net financial result of cultural institution in the first quarter of 2024 amounted to PLN 353.8 million</w:t>
                      </w:r>
                    </w:p>
                  </w:txbxContent>
                </v:textbox>
                <w10:wrap type="tight"/>
              </v:shape>
            </w:pict>
          </mc:Fallback>
        </mc:AlternateContent>
      </w:r>
      <w:r w:rsidR="00414460" w:rsidRPr="0014154D">
        <w:rPr>
          <w:lang w:val="en-GB"/>
        </w:rPr>
        <w:t xml:space="preserve">Total costs during this period amounted to PLN 3,458.1 million and were 18.6% higher than in the previous year. The structure of costs was composed of operating costs (99.5%), other operating costs (0.4%) and financial costs (0.1%). More than 24% of the total costs were incurred by cultural institutions from </w:t>
      </w:r>
      <w:proofErr w:type="spellStart"/>
      <w:r w:rsidR="00414460" w:rsidRPr="0014154D">
        <w:rPr>
          <w:lang w:val="en-GB"/>
        </w:rPr>
        <w:t>Mazowieckie</w:t>
      </w:r>
      <w:proofErr w:type="spellEnd"/>
      <w:r w:rsidR="00414460" w:rsidRPr="0014154D">
        <w:rPr>
          <w:lang w:val="en-GB"/>
        </w:rPr>
        <w:t xml:space="preserve"> Voivodship.</w:t>
      </w:r>
      <w:r w:rsidR="00EE6F8E" w:rsidRPr="0014154D">
        <w:rPr>
          <w:lang w:val="en-GB"/>
        </w:rPr>
        <w:t xml:space="preserve"> The largest share in total costs of all cultural institutions had the entities conducting operation of arts facilities – 39.7</w:t>
      </w:r>
      <w:r w:rsidR="00414460" w:rsidRPr="0014154D">
        <w:rPr>
          <w:lang w:val="en-GB"/>
        </w:rPr>
        <w:t>%.</w:t>
      </w:r>
    </w:p>
    <w:p w14:paraId="469F0A9E" w14:textId="51630C00" w:rsidR="00D243CE" w:rsidRPr="0014154D" w:rsidRDefault="00D243CE" w:rsidP="00D243CE">
      <w:pPr>
        <w:spacing w:line="288" w:lineRule="auto"/>
        <w:rPr>
          <w:lang w:val="en-GB"/>
        </w:rPr>
      </w:pPr>
      <w:r w:rsidRPr="0014154D">
        <w:rPr>
          <w:lang w:val="en-GB"/>
        </w:rPr>
        <w:t xml:space="preserve">Gross financial result amounted to PLN 354.2 million (gross profit PLN 430.1 million, gross loss PLN 75.9 million). Net financial result amounted to PLN 353.8 million (PLN 298.9 million in the previous year), with an increase in net profit (by 17.5%) and an increase in net loss (by 13.5%). </w:t>
      </w:r>
    </w:p>
    <w:p w14:paraId="661EC831" w14:textId="77777777" w:rsidR="00D243CE" w:rsidRPr="0014154D" w:rsidRDefault="00D243CE" w:rsidP="00D243CE">
      <w:pPr>
        <w:pStyle w:val="Tytutablicy"/>
        <w:spacing w:before="240"/>
        <w:rPr>
          <w:lang w:val="en-GB"/>
        </w:rPr>
      </w:pPr>
      <w:r w:rsidRPr="0014154D">
        <w:rPr>
          <w:lang w:val="en-GB"/>
        </w:rPr>
        <w:lastRenderedPageBreak/>
        <w:t>Table 1. Financial results of cultural institutions</w:t>
      </w:r>
    </w:p>
    <w:tbl>
      <w:tblPr>
        <w:tblW w:w="7938" w:type="dxa"/>
        <w:tblBorders>
          <w:top w:val="single" w:sz="4" w:space="0" w:color="001D77"/>
          <w:bottom w:val="single" w:sz="4" w:space="0" w:color="001D77"/>
          <w:insideH w:val="single" w:sz="4" w:space="0" w:color="001D77"/>
          <w:insideV w:val="single" w:sz="4" w:space="0" w:color="001D77"/>
        </w:tblBorders>
        <w:tblCellMar>
          <w:left w:w="70" w:type="dxa"/>
          <w:right w:w="70" w:type="dxa"/>
        </w:tblCellMar>
        <w:tblLook w:val="0400" w:firstRow="0" w:lastRow="0" w:firstColumn="0" w:lastColumn="0" w:noHBand="0" w:noVBand="1"/>
        <w:tblCaption w:val="Table 1. presenting financial results of cultural institutions"/>
      </w:tblPr>
      <w:tblGrid>
        <w:gridCol w:w="3544"/>
        <w:gridCol w:w="1464"/>
        <w:gridCol w:w="1465"/>
        <w:gridCol w:w="1465"/>
      </w:tblGrid>
      <w:tr w:rsidR="00D243CE" w:rsidRPr="0014154D" w14:paraId="336A48BD" w14:textId="77777777" w:rsidTr="0025325D">
        <w:trPr>
          <w:trHeight w:val="456"/>
          <w:tblHeader/>
        </w:trPr>
        <w:tc>
          <w:tcPr>
            <w:tcW w:w="3544" w:type="dxa"/>
            <w:vMerge w:val="restart"/>
            <w:noWrap/>
            <w:vAlign w:val="center"/>
            <w:hideMark/>
          </w:tcPr>
          <w:p w14:paraId="45F2FBF5" w14:textId="77777777" w:rsidR="00D243CE" w:rsidRPr="0014154D" w:rsidRDefault="00D243CE" w:rsidP="0025325D">
            <w:pPr>
              <w:pStyle w:val="Tablicagwka"/>
              <w:rPr>
                <w:lang w:val="en-GB"/>
              </w:rPr>
            </w:pPr>
            <w:r w:rsidRPr="0014154D">
              <w:rPr>
                <w:lang w:val="en-GB"/>
              </w:rPr>
              <w:t>Specification</w:t>
            </w:r>
          </w:p>
        </w:tc>
        <w:tc>
          <w:tcPr>
            <w:tcW w:w="1464" w:type="dxa"/>
            <w:hideMark/>
          </w:tcPr>
          <w:p w14:paraId="15B8BF06" w14:textId="50ABAA2C" w:rsidR="00D243CE" w:rsidRPr="0014154D" w:rsidRDefault="00D243CE" w:rsidP="0025325D">
            <w:pPr>
              <w:pStyle w:val="Tablicagwkarodek"/>
              <w:rPr>
                <w:lang w:val="en-GB"/>
              </w:rPr>
            </w:pPr>
            <w:r w:rsidRPr="0014154D">
              <w:rPr>
                <w:lang w:val="en-GB"/>
              </w:rPr>
              <w:t>01–03 2023</w:t>
            </w:r>
          </w:p>
        </w:tc>
        <w:tc>
          <w:tcPr>
            <w:tcW w:w="1465" w:type="dxa"/>
            <w:hideMark/>
          </w:tcPr>
          <w:p w14:paraId="6B84F490" w14:textId="7C302AE4" w:rsidR="00D243CE" w:rsidRPr="0014154D" w:rsidRDefault="00D243CE" w:rsidP="0025325D">
            <w:pPr>
              <w:pStyle w:val="Tablicagwkarodek"/>
              <w:rPr>
                <w:rFonts w:eastAsia="Fira Sans Light" w:cs="Times New Roman"/>
                <w:lang w:val="en-GB"/>
              </w:rPr>
            </w:pPr>
            <w:r w:rsidRPr="0014154D">
              <w:rPr>
                <w:lang w:val="en-GB"/>
              </w:rPr>
              <w:t>01–03 2024</w:t>
            </w:r>
          </w:p>
        </w:tc>
        <w:tc>
          <w:tcPr>
            <w:tcW w:w="1465" w:type="dxa"/>
            <w:vMerge w:val="restart"/>
            <w:vAlign w:val="center"/>
          </w:tcPr>
          <w:p w14:paraId="66A718AB" w14:textId="253368CA" w:rsidR="00D243CE" w:rsidRPr="0014154D" w:rsidRDefault="00D243CE" w:rsidP="0025325D">
            <w:pPr>
              <w:pStyle w:val="Tablicagwkarodek"/>
              <w:rPr>
                <w:rFonts w:eastAsia="Fira Sans Light" w:cs="Times New Roman"/>
                <w:lang w:val="en-GB"/>
              </w:rPr>
            </w:pPr>
            <w:r w:rsidRPr="0014154D">
              <w:rPr>
                <w:lang w:val="en-GB"/>
              </w:rPr>
              <w:t>01–03 2023=100</w:t>
            </w:r>
          </w:p>
        </w:tc>
      </w:tr>
      <w:tr w:rsidR="00D243CE" w:rsidRPr="0014154D" w14:paraId="7CE0D2B4" w14:textId="77777777" w:rsidTr="0025325D">
        <w:trPr>
          <w:trHeight w:val="456"/>
          <w:tblHeader/>
        </w:trPr>
        <w:tc>
          <w:tcPr>
            <w:tcW w:w="3544" w:type="dxa"/>
            <w:vMerge/>
            <w:vAlign w:val="center"/>
            <w:hideMark/>
          </w:tcPr>
          <w:p w14:paraId="0F7554BA" w14:textId="77777777" w:rsidR="00D243CE" w:rsidRPr="0014154D" w:rsidRDefault="00D243CE" w:rsidP="0025325D">
            <w:pPr>
              <w:spacing w:before="0" w:after="0" w:line="256" w:lineRule="auto"/>
              <w:rPr>
                <w:rFonts w:eastAsia="Times New Roman" w:cs="Calibri"/>
                <w:szCs w:val="19"/>
                <w:lang w:val="en-GB" w:eastAsia="pl-PL"/>
              </w:rPr>
            </w:pPr>
          </w:p>
        </w:tc>
        <w:tc>
          <w:tcPr>
            <w:tcW w:w="2929" w:type="dxa"/>
            <w:gridSpan w:val="2"/>
            <w:hideMark/>
          </w:tcPr>
          <w:p w14:paraId="234023C9" w14:textId="5115B590" w:rsidR="00D243CE" w:rsidRPr="0014154D" w:rsidRDefault="00D243CE" w:rsidP="0025325D">
            <w:pPr>
              <w:pStyle w:val="Tablicagwkarodek"/>
              <w:rPr>
                <w:rFonts w:eastAsia="Fira Sans Light" w:cs="Times New Roman"/>
                <w:lang w:val="en-GB"/>
              </w:rPr>
            </w:pPr>
            <w:r w:rsidRPr="0014154D">
              <w:rPr>
                <w:rFonts w:eastAsia="Fira Sans Light" w:cs="Times New Roman"/>
                <w:lang w:val="en-GB"/>
              </w:rPr>
              <w:t xml:space="preserve">in PLN </w:t>
            </w:r>
            <w:r w:rsidR="00A306AD" w:rsidRPr="0014154D">
              <w:rPr>
                <w:rFonts w:eastAsia="Fira Sans Light" w:cs="Times New Roman"/>
                <w:lang w:val="en-GB"/>
              </w:rPr>
              <w:t>million</w:t>
            </w:r>
          </w:p>
        </w:tc>
        <w:tc>
          <w:tcPr>
            <w:tcW w:w="1465" w:type="dxa"/>
            <w:vMerge/>
            <w:hideMark/>
          </w:tcPr>
          <w:p w14:paraId="6EA9A30B" w14:textId="77777777" w:rsidR="00D243CE" w:rsidRPr="0014154D" w:rsidRDefault="00D243CE" w:rsidP="0025325D">
            <w:pPr>
              <w:pStyle w:val="Tablicagwkarodek"/>
              <w:rPr>
                <w:rFonts w:eastAsia="Fira Sans Light" w:cs="Times New Roman"/>
                <w:lang w:val="en-GB"/>
              </w:rPr>
            </w:pPr>
          </w:p>
        </w:tc>
      </w:tr>
      <w:tr w:rsidR="00D243CE" w:rsidRPr="0014154D" w14:paraId="59A4C1E3" w14:textId="77777777" w:rsidTr="0025325D">
        <w:trPr>
          <w:trHeight w:val="300"/>
          <w:tblHeader/>
        </w:trPr>
        <w:tc>
          <w:tcPr>
            <w:tcW w:w="3544" w:type="dxa"/>
            <w:noWrap/>
            <w:vAlign w:val="center"/>
          </w:tcPr>
          <w:p w14:paraId="58005161" w14:textId="77777777" w:rsidR="00D243CE" w:rsidRPr="0014154D" w:rsidRDefault="00D243CE" w:rsidP="00D243CE">
            <w:pPr>
              <w:pStyle w:val="Tablicaboczek"/>
              <w:rPr>
                <w:lang w:val="en-GB"/>
              </w:rPr>
            </w:pPr>
            <w:r w:rsidRPr="0014154D">
              <w:rPr>
                <w:rFonts w:cs="Fira Sans"/>
                <w:spacing w:val="-1"/>
                <w:lang w:val="en-GB"/>
              </w:rPr>
              <w:t>Total revenues</w:t>
            </w:r>
          </w:p>
        </w:tc>
        <w:tc>
          <w:tcPr>
            <w:tcW w:w="1464" w:type="dxa"/>
            <w:vAlign w:val="center"/>
          </w:tcPr>
          <w:p w14:paraId="1F3ED82C" w14:textId="55ED649E" w:rsidR="00D243CE" w:rsidRPr="0014154D" w:rsidRDefault="00D243CE" w:rsidP="00D243CE">
            <w:pPr>
              <w:pStyle w:val="Tablicadanerodek"/>
              <w:rPr>
                <w:lang w:val="en-GB"/>
              </w:rPr>
            </w:pPr>
            <w:r w:rsidRPr="0014154D">
              <w:rPr>
                <w:lang w:val="en-GB" w:eastAsia="en-US"/>
              </w:rPr>
              <w:t>3,214.9</w:t>
            </w:r>
          </w:p>
        </w:tc>
        <w:tc>
          <w:tcPr>
            <w:tcW w:w="1465" w:type="dxa"/>
            <w:vAlign w:val="center"/>
          </w:tcPr>
          <w:p w14:paraId="48F7D2F8" w14:textId="3C18C7FF" w:rsidR="00D243CE" w:rsidRPr="0014154D" w:rsidRDefault="00D243CE" w:rsidP="00D243CE">
            <w:pPr>
              <w:pStyle w:val="Tablicadanerodek"/>
              <w:rPr>
                <w:lang w:val="en-GB"/>
              </w:rPr>
            </w:pPr>
            <w:r w:rsidRPr="0014154D">
              <w:rPr>
                <w:lang w:val="en-GB" w:eastAsia="en-US"/>
              </w:rPr>
              <w:t>3,812.3</w:t>
            </w:r>
          </w:p>
        </w:tc>
        <w:tc>
          <w:tcPr>
            <w:tcW w:w="1465" w:type="dxa"/>
            <w:noWrap/>
            <w:vAlign w:val="center"/>
          </w:tcPr>
          <w:p w14:paraId="66655CC4" w14:textId="2A479F15" w:rsidR="00D243CE" w:rsidRPr="0014154D" w:rsidRDefault="00D243CE" w:rsidP="00D243CE">
            <w:pPr>
              <w:pStyle w:val="Tablicadanerodek"/>
              <w:rPr>
                <w:lang w:val="en-GB"/>
              </w:rPr>
            </w:pPr>
            <w:r w:rsidRPr="0014154D">
              <w:rPr>
                <w:lang w:val="en-GB" w:eastAsia="en-US"/>
              </w:rPr>
              <w:t>118.6</w:t>
            </w:r>
          </w:p>
        </w:tc>
      </w:tr>
      <w:tr w:rsidR="00D243CE" w:rsidRPr="0014154D" w14:paraId="1E44530A" w14:textId="77777777" w:rsidTr="0025325D">
        <w:trPr>
          <w:trHeight w:val="300"/>
          <w:tblHeader/>
        </w:trPr>
        <w:tc>
          <w:tcPr>
            <w:tcW w:w="3544" w:type="dxa"/>
            <w:noWrap/>
            <w:vAlign w:val="center"/>
            <w:hideMark/>
          </w:tcPr>
          <w:p w14:paraId="20AF16E1" w14:textId="77777777" w:rsidR="00D243CE" w:rsidRPr="0014154D" w:rsidRDefault="00D243CE" w:rsidP="00D243CE">
            <w:pPr>
              <w:pStyle w:val="Tablicaboczek"/>
              <w:rPr>
                <w:lang w:val="en-GB"/>
              </w:rPr>
            </w:pPr>
            <w:r w:rsidRPr="0014154D">
              <w:rPr>
                <w:rFonts w:cs="Fira Sans"/>
                <w:spacing w:val="-1"/>
                <w:lang w:val="en-GB"/>
              </w:rPr>
              <w:t>Total costs</w:t>
            </w:r>
          </w:p>
        </w:tc>
        <w:tc>
          <w:tcPr>
            <w:tcW w:w="1464" w:type="dxa"/>
            <w:vAlign w:val="center"/>
            <w:hideMark/>
          </w:tcPr>
          <w:p w14:paraId="780D816A" w14:textId="38AC218F" w:rsidR="00D243CE" w:rsidRPr="0014154D" w:rsidRDefault="00D243CE" w:rsidP="00D243CE">
            <w:pPr>
              <w:pStyle w:val="Tablicadanerodek"/>
              <w:rPr>
                <w:lang w:val="en-GB"/>
              </w:rPr>
            </w:pPr>
            <w:r w:rsidRPr="0014154D">
              <w:rPr>
                <w:lang w:val="en-GB" w:eastAsia="en-US"/>
              </w:rPr>
              <w:t>2,915.6</w:t>
            </w:r>
          </w:p>
        </w:tc>
        <w:tc>
          <w:tcPr>
            <w:tcW w:w="1465" w:type="dxa"/>
            <w:vAlign w:val="center"/>
            <w:hideMark/>
          </w:tcPr>
          <w:p w14:paraId="392AAAE1" w14:textId="2AD0842F" w:rsidR="00D243CE" w:rsidRPr="0014154D" w:rsidRDefault="00D243CE" w:rsidP="00D243CE">
            <w:pPr>
              <w:pStyle w:val="Tablicadanerodek"/>
              <w:rPr>
                <w:highlight w:val="yellow"/>
                <w:lang w:val="en-GB"/>
              </w:rPr>
            </w:pPr>
            <w:r w:rsidRPr="0014154D">
              <w:rPr>
                <w:lang w:val="en-GB" w:eastAsia="en-US"/>
              </w:rPr>
              <w:t>3,458.1</w:t>
            </w:r>
          </w:p>
        </w:tc>
        <w:tc>
          <w:tcPr>
            <w:tcW w:w="1465" w:type="dxa"/>
            <w:noWrap/>
            <w:vAlign w:val="center"/>
            <w:hideMark/>
          </w:tcPr>
          <w:p w14:paraId="34EA5ED1" w14:textId="00775B0E" w:rsidR="00D243CE" w:rsidRPr="0014154D" w:rsidRDefault="00D243CE" w:rsidP="00D243CE">
            <w:pPr>
              <w:pStyle w:val="Tablicadanerodek"/>
              <w:rPr>
                <w:lang w:val="en-GB"/>
              </w:rPr>
            </w:pPr>
            <w:r w:rsidRPr="0014154D">
              <w:rPr>
                <w:lang w:val="en-GB" w:eastAsia="en-US"/>
              </w:rPr>
              <w:t>118.6</w:t>
            </w:r>
          </w:p>
        </w:tc>
      </w:tr>
      <w:tr w:rsidR="00D243CE" w:rsidRPr="0014154D" w14:paraId="34AA08DE" w14:textId="77777777" w:rsidTr="0025325D">
        <w:trPr>
          <w:trHeight w:val="300"/>
          <w:tblHeader/>
        </w:trPr>
        <w:tc>
          <w:tcPr>
            <w:tcW w:w="3544" w:type="dxa"/>
            <w:noWrap/>
            <w:vAlign w:val="center"/>
            <w:hideMark/>
          </w:tcPr>
          <w:p w14:paraId="3E327BAD" w14:textId="77777777" w:rsidR="00D243CE" w:rsidRPr="0014154D" w:rsidRDefault="00D243CE" w:rsidP="00D243CE">
            <w:pPr>
              <w:pStyle w:val="Tablicaboczek"/>
              <w:rPr>
                <w:lang w:val="en-GB"/>
              </w:rPr>
            </w:pPr>
            <w:r w:rsidRPr="0014154D">
              <w:rPr>
                <w:rFonts w:cs="Fira Sans"/>
                <w:spacing w:val="-1"/>
                <w:lang w:val="en-GB"/>
              </w:rPr>
              <w:t>Gross financial result</w:t>
            </w:r>
          </w:p>
        </w:tc>
        <w:tc>
          <w:tcPr>
            <w:tcW w:w="1464" w:type="dxa"/>
            <w:vAlign w:val="center"/>
            <w:hideMark/>
          </w:tcPr>
          <w:p w14:paraId="31BF7BE8" w14:textId="00F85C9B" w:rsidR="00D243CE" w:rsidRPr="0014154D" w:rsidRDefault="00D243CE" w:rsidP="00D243CE">
            <w:pPr>
              <w:pStyle w:val="Tablicadanerodek"/>
              <w:rPr>
                <w:lang w:val="en-GB"/>
              </w:rPr>
            </w:pPr>
            <w:r w:rsidRPr="0014154D">
              <w:rPr>
                <w:lang w:val="en-GB" w:eastAsia="en-US"/>
              </w:rPr>
              <w:t>299.3</w:t>
            </w:r>
          </w:p>
        </w:tc>
        <w:tc>
          <w:tcPr>
            <w:tcW w:w="1465" w:type="dxa"/>
            <w:vAlign w:val="center"/>
            <w:hideMark/>
          </w:tcPr>
          <w:p w14:paraId="1A0147E1" w14:textId="1266E8EE" w:rsidR="00D243CE" w:rsidRPr="0014154D" w:rsidRDefault="00D243CE" w:rsidP="00D243CE">
            <w:pPr>
              <w:pStyle w:val="Tablicadanerodek"/>
              <w:rPr>
                <w:highlight w:val="yellow"/>
                <w:lang w:val="en-GB"/>
              </w:rPr>
            </w:pPr>
            <w:r w:rsidRPr="0014154D">
              <w:rPr>
                <w:lang w:val="en-GB" w:eastAsia="en-US"/>
              </w:rPr>
              <w:t>354.2</w:t>
            </w:r>
          </w:p>
        </w:tc>
        <w:tc>
          <w:tcPr>
            <w:tcW w:w="1465" w:type="dxa"/>
            <w:noWrap/>
            <w:vAlign w:val="center"/>
            <w:hideMark/>
          </w:tcPr>
          <w:p w14:paraId="3E2F38FD" w14:textId="56F13D47" w:rsidR="00D243CE" w:rsidRPr="0014154D" w:rsidRDefault="00D243CE" w:rsidP="00D243CE">
            <w:pPr>
              <w:pStyle w:val="Tablicadanerodek"/>
              <w:rPr>
                <w:lang w:val="en-GB"/>
              </w:rPr>
            </w:pPr>
            <w:r w:rsidRPr="0014154D">
              <w:rPr>
                <w:lang w:val="en-GB" w:eastAsia="en-US"/>
              </w:rPr>
              <w:t>118.4</w:t>
            </w:r>
          </w:p>
        </w:tc>
      </w:tr>
      <w:tr w:rsidR="00D243CE" w:rsidRPr="0014154D" w14:paraId="51553339" w14:textId="77777777" w:rsidTr="0025325D">
        <w:trPr>
          <w:trHeight w:val="300"/>
          <w:tblHeader/>
        </w:trPr>
        <w:tc>
          <w:tcPr>
            <w:tcW w:w="3544" w:type="dxa"/>
            <w:noWrap/>
            <w:vAlign w:val="center"/>
          </w:tcPr>
          <w:p w14:paraId="7A230702" w14:textId="77777777" w:rsidR="00D243CE" w:rsidRPr="0014154D" w:rsidRDefault="00D243CE" w:rsidP="00D243CE">
            <w:pPr>
              <w:pStyle w:val="Tablicaboczekwcicie1"/>
              <w:ind w:firstLine="0"/>
              <w:rPr>
                <w:rFonts w:eastAsia="Times New Roman" w:cs="Calibri"/>
                <w:lang w:val="en-GB" w:eastAsia="pl-PL"/>
              </w:rPr>
            </w:pPr>
            <w:r w:rsidRPr="0014154D">
              <w:rPr>
                <w:rFonts w:cs="Fira Sans"/>
                <w:spacing w:val="-1"/>
                <w:lang w:val="en-GB"/>
              </w:rPr>
              <w:t>Net financial result</w:t>
            </w:r>
          </w:p>
        </w:tc>
        <w:tc>
          <w:tcPr>
            <w:tcW w:w="1464" w:type="dxa"/>
            <w:vAlign w:val="center"/>
          </w:tcPr>
          <w:p w14:paraId="2CD0DA2E" w14:textId="70939257" w:rsidR="00D243CE" w:rsidRPr="0014154D" w:rsidRDefault="00D243CE" w:rsidP="00D243CE">
            <w:pPr>
              <w:pStyle w:val="Tablicadanerodek"/>
              <w:rPr>
                <w:lang w:val="en-GB"/>
              </w:rPr>
            </w:pPr>
            <w:r w:rsidRPr="0014154D">
              <w:rPr>
                <w:lang w:val="en-GB" w:eastAsia="en-US"/>
              </w:rPr>
              <w:t>298.9</w:t>
            </w:r>
          </w:p>
        </w:tc>
        <w:tc>
          <w:tcPr>
            <w:tcW w:w="1465" w:type="dxa"/>
            <w:vAlign w:val="center"/>
          </w:tcPr>
          <w:p w14:paraId="634ED353" w14:textId="2CA81D9D" w:rsidR="00D243CE" w:rsidRPr="0014154D" w:rsidRDefault="00D243CE" w:rsidP="00D243CE">
            <w:pPr>
              <w:pStyle w:val="Tablicadanerodek"/>
              <w:rPr>
                <w:lang w:val="en-GB"/>
              </w:rPr>
            </w:pPr>
            <w:r w:rsidRPr="0014154D">
              <w:rPr>
                <w:lang w:val="en-GB" w:eastAsia="en-US"/>
              </w:rPr>
              <w:t>353.8</w:t>
            </w:r>
          </w:p>
        </w:tc>
        <w:tc>
          <w:tcPr>
            <w:tcW w:w="1465" w:type="dxa"/>
            <w:noWrap/>
            <w:vAlign w:val="center"/>
          </w:tcPr>
          <w:p w14:paraId="620E1554" w14:textId="250F034A" w:rsidR="00D243CE" w:rsidRPr="0014154D" w:rsidRDefault="00D243CE" w:rsidP="00D243CE">
            <w:pPr>
              <w:pStyle w:val="Tablicadanerodek"/>
              <w:rPr>
                <w:lang w:val="en-GB"/>
              </w:rPr>
            </w:pPr>
            <w:r w:rsidRPr="0014154D">
              <w:rPr>
                <w:lang w:val="en-GB" w:eastAsia="en-US"/>
              </w:rPr>
              <w:t>118.4</w:t>
            </w:r>
          </w:p>
        </w:tc>
      </w:tr>
      <w:tr w:rsidR="00D243CE" w:rsidRPr="0014154D" w14:paraId="5D43FBF6" w14:textId="77777777" w:rsidTr="0025325D">
        <w:trPr>
          <w:trHeight w:val="300"/>
          <w:tblHeader/>
        </w:trPr>
        <w:tc>
          <w:tcPr>
            <w:tcW w:w="3544" w:type="dxa"/>
            <w:noWrap/>
            <w:vAlign w:val="center"/>
          </w:tcPr>
          <w:p w14:paraId="4C9AE746" w14:textId="77777777" w:rsidR="00D243CE" w:rsidRPr="0014154D" w:rsidRDefault="00D243CE" w:rsidP="00D243CE">
            <w:pPr>
              <w:pStyle w:val="Tablicaboczekwcicie2"/>
              <w:ind w:left="0"/>
              <w:rPr>
                <w:rFonts w:eastAsia="Times New Roman" w:cs="Calibri"/>
                <w:lang w:val="en-GB" w:eastAsia="pl-PL"/>
              </w:rPr>
            </w:pPr>
            <w:r w:rsidRPr="0014154D">
              <w:rPr>
                <w:rFonts w:cs="Fira Sans"/>
                <w:spacing w:val="-1"/>
                <w:lang w:val="en-GB"/>
              </w:rPr>
              <w:t>Net profit</w:t>
            </w:r>
          </w:p>
        </w:tc>
        <w:tc>
          <w:tcPr>
            <w:tcW w:w="1464" w:type="dxa"/>
            <w:vAlign w:val="center"/>
          </w:tcPr>
          <w:p w14:paraId="6DA752E6" w14:textId="636C228F" w:rsidR="00D243CE" w:rsidRPr="0014154D" w:rsidRDefault="00D243CE" w:rsidP="00D243CE">
            <w:pPr>
              <w:pStyle w:val="Tablicadanerodek"/>
              <w:rPr>
                <w:lang w:val="en-GB"/>
              </w:rPr>
            </w:pPr>
            <w:r w:rsidRPr="0014154D">
              <w:rPr>
                <w:lang w:val="en-GB" w:eastAsia="en-US"/>
              </w:rPr>
              <w:t>365.9</w:t>
            </w:r>
          </w:p>
        </w:tc>
        <w:tc>
          <w:tcPr>
            <w:tcW w:w="1465" w:type="dxa"/>
            <w:vAlign w:val="center"/>
          </w:tcPr>
          <w:p w14:paraId="47244607" w14:textId="0D759E9F" w:rsidR="00D243CE" w:rsidRPr="0014154D" w:rsidRDefault="00D243CE" w:rsidP="00D243CE">
            <w:pPr>
              <w:pStyle w:val="Tablicadanerodek"/>
              <w:rPr>
                <w:lang w:val="en-GB"/>
              </w:rPr>
            </w:pPr>
            <w:r w:rsidRPr="0014154D">
              <w:rPr>
                <w:lang w:val="en-GB" w:eastAsia="en-US"/>
              </w:rPr>
              <w:t>429.8</w:t>
            </w:r>
          </w:p>
        </w:tc>
        <w:tc>
          <w:tcPr>
            <w:tcW w:w="1465" w:type="dxa"/>
            <w:noWrap/>
            <w:vAlign w:val="center"/>
          </w:tcPr>
          <w:p w14:paraId="559F59C7" w14:textId="6E59D557" w:rsidR="00D243CE" w:rsidRPr="0014154D" w:rsidRDefault="00D243CE" w:rsidP="00D243CE">
            <w:pPr>
              <w:pStyle w:val="Tablicadanerodek"/>
              <w:rPr>
                <w:lang w:val="en-GB"/>
              </w:rPr>
            </w:pPr>
            <w:r w:rsidRPr="0014154D">
              <w:rPr>
                <w:lang w:val="en-GB" w:eastAsia="en-US"/>
              </w:rPr>
              <w:t>117.5</w:t>
            </w:r>
          </w:p>
        </w:tc>
      </w:tr>
      <w:tr w:rsidR="00D243CE" w:rsidRPr="0014154D" w14:paraId="09B1F117" w14:textId="77777777" w:rsidTr="0025325D">
        <w:trPr>
          <w:trHeight w:val="300"/>
          <w:tblHeader/>
        </w:trPr>
        <w:tc>
          <w:tcPr>
            <w:tcW w:w="3544" w:type="dxa"/>
            <w:noWrap/>
            <w:vAlign w:val="center"/>
          </w:tcPr>
          <w:p w14:paraId="1425EFF3" w14:textId="77777777" w:rsidR="00D243CE" w:rsidRPr="0014154D" w:rsidRDefault="00D243CE" w:rsidP="00D243CE">
            <w:pPr>
              <w:pStyle w:val="Tablicaboczekwcicie2"/>
              <w:ind w:left="0"/>
              <w:rPr>
                <w:lang w:val="en-GB"/>
              </w:rPr>
            </w:pPr>
            <w:r w:rsidRPr="0014154D">
              <w:rPr>
                <w:rFonts w:cs="Fira Sans"/>
                <w:spacing w:val="-1"/>
                <w:lang w:val="en-GB"/>
              </w:rPr>
              <w:t>Net loss</w:t>
            </w:r>
          </w:p>
        </w:tc>
        <w:tc>
          <w:tcPr>
            <w:tcW w:w="1464" w:type="dxa"/>
            <w:vAlign w:val="center"/>
          </w:tcPr>
          <w:p w14:paraId="0E73001E" w14:textId="73A3C918" w:rsidR="00D243CE" w:rsidRPr="0014154D" w:rsidRDefault="00D243CE" w:rsidP="00D243CE">
            <w:pPr>
              <w:pStyle w:val="Tablicadanerodek"/>
              <w:rPr>
                <w:lang w:val="en-GB"/>
              </w:rPr>
            </w:pPr>
            <w:r w:rsidRPr="0014154D">
              <w:rPr>
                <w:lang w:val="en-GB" w:eastAsia="en-US"/>
              </w:rPr>
              <w:t>67.0</w:t>
            </w:r>
          </w:p>
        </w:tc>
        <w:tc>
          <w:tcPr>
            <w:tcW w:w="1465" w:type="dxa"/>
            <w:vAlign w:val="center"/>
          </w:tcPr>
          <w:p w14:paraId="6CD83345" w14:textId="4DDDD4B0" w:rsidR="00D243CE" w:rsidRPr="0014154D" w:rsidRDefault="00D243CE" w:rsidP="00D243CE">
            <w:pPr>
              <w:pStyle w:val="Tablicadanerodek"/>
              <w:rPr>
                <w:lang w:val="en-GB"/>
              </w:rPr>
            </w:pPr>
            <w:r w:rsidRPr="0014154D">
              <w:rPr>
                <w:lang w:val="en-GB" w:eastAsia="en-US"/>
              </w:rPr>
              <w:t>76.0</w:t>
            </w:r>
          </w:p>
        </w:tc>
        <w:tc>
          <w:tcPr>
            <w:tcW w:w="1465" w:type="dxa"/>
            <w:noWrap/>
            <w:vAlign w:val="center"/>
          </w:tcPr>
          <w:p w14:paraId="3D33DCFF" w14:textId="32938FD5" w:rsidR="00D243CE" w:rsidRPr="0014154D" w:rsidRDefault="00D243CE" w:rsidP="00D243CE">
            <w:pPr>
              <w:pStyle w:val="Tablicadanerodek"/>
              <w:rPr>
                <w:lang w:val="en-GB"/>
              </w:rPr>
            </w:pPr>
            <w:r w:rsidRPr="0014154D">
              <w:rPr>
                <w:lang w:val="en-GB" w:eastAsia="en-US"/>
              </w:rPr>
              <w:t>113.5</w:t>
            </w:r>
          </w:p>
        </w:tc>
      </w:tr>
      <w:tr w:rsidR="00D243CE" w:rsidRPr="0014154D" w14:paraId="24C0903F" w14:textId="77777777" w:rsidTr="0025325D">
        <w:trPr>
          <w:trHeight w:val="300"/>
          <w:tblHeader/>
        </w:trPr>
        <w:tc>
          <w:tcPr>
            <w:tcW w:w="3544" w:type="dxa"/>
            <w:noWrap/>
            <w:vAlign w:val="center"/>
            <w:hideMark/>
          </w:tcPr>
          <w:p w14:paraId="0A7AB9A7" w14:textId="77777777" w:rsidR="00D243CE" w:rsidRPr="0014154D" w:rsidRDefault="00D243CE" w:rsidP="00D243CE">
            <w:pPr>
              <w:pStyle w:val="Tablicaboczek"/>
              <w:rPr>
                <w:lang w:val="en-GB"/>
              </w:rPr>
            </w:pPr>
            <w:r w:rsidRPr="0014154D">
              <w:rPr>
                <w:rFonts w:cs="Fira Sans"/>
                <w:spacing w:val="-1"/>
                <w:lang w:val="en-GB"/>
              </w:rPr>
              <w:t>Investment outlays</w:t>
            </w:r>
          </w:p>
        </w:tc>
        <w:tc>
          <w:tcPr>
            <w:tcW w:w="1464" w:type="dxa"/>
            <w:vAlign w:val="center"/>
            <w:hideMark/>
          </w:tcPr>
          <w:p w14:paraId="2130FB49" w14:textId="12953877" w:rsidR="00D243CE" w:rsidRPr="0014154D" w:rsidRDefault="00D243CE" w:rsidP="00D243CE">
            <w:pPr>
              <w:pStyle w:val="Tablicadanerodek"/>
              <w:rPr>
                <w:lang w:val="en-GB"/>
              </w:rPr>
            </w:pPr>
            <w:r w:rsidRPr="0014154D">
              <w:rPr>
                <w:lang w:val="en-GB" w:eastAsia="en-US"/>
              </w:rPr>
              <w:t>213.9</w:t>
            </w:r>
          </w:p>
        </w:tc>
        <w:tc>
          <w:tcPr>
            <w:tcW w:w="1465" w:type="dxa"/>
            <w:vAlign w:val="center"/>
            <w:hideMark/>
          </w:tcPr>
          <w:p w14:paraId="6F24DB29" w14:textId="774C833B" w:rsidR="00D243CE" w:rsidRPr="0014154D" w:rsidRDefault="00D243CE" w:rsidP="00D243CE">
            <w:pPr>
              <w:pStyle w:val="Tablicadanerodek"/>
              <w:rPr>
                <w:highlight w:val="yellow"/>
                <w:lang w:val="en-GB"/>
              </w:rPr>
            </w:pPr>
            <w:r w:rsidRPr="0014154D">
              <w:rPr>
                <w:lang w:val="en-GB" w:eastAsia="en-US"/>
              </w:rPr>
              <w:t>254.5</w:t>
            </w:r>
          </w:p>
        </w:tc>
        <w:tc>
          <w:tcPr>
            <w:tcW w:w="1465" w:type="dxa"/>
            <w:noWrap/>
            <w:vAlign w:val="center"/>
            <w:hideMark/>
          </w:tcPr>
          <w:p w14:paraId="73F8A436" w14:textId="2D38D656" w:rsidR="00D243CE" w:rsidRPr="0014154D" w:rsidRDefault="00D243CE" w:rsidP="00D243CE">
            <w:pPr>
              <w:pStyle w:val="Tablicadanerodek"/>
              <w:rPr>
                <w:lang w:val="en-GB"/>
              </w:rPr>
            </w:pPr>
            <w:r w:rsidRPr="0014154D">
              <w:rPr>
                <w:lang w:val="en-GB" w:eastAsia="en-US"/>
              </w:rPr>
              <w:t>119.0</w:t>
            </w:r>
          </w:p>
        </w:tc>
      </w:tr>
      <w:tr w:rsidR="00D243CE" w:rsidRPr="0014154D" w14:paraId="7045E837" w14:textId="77777777" w:rsidTr="0025325D">
        <w:trPr>
          <w:trHeight w:val="476"/>
          <w:tblHeader/>
        </w:trPr>
        <w:tc>
          <w:tcPr>
            <w:tcW w:w="3544" w:type="dxa"/>
            <w:noWrap/>
            <w:vAlign w:val="bottom"/>
          </w:tcPr>
          <w:p w14:paraId="0A6A98A2" w14:textId="77777777" w:rsidR="00D243CE" w:rsidRPr="0014154D" w:rsidRDefault="00D243CE" w:rsidP="00D243CE">
            <w:pPr>
              <w:pStyle w:val="Tablicaboczek"/>
              <w:ind w:left="176" w:hanging="176"/>
              <w:rPr>
                <w:rFonts w:cs="Fira Sans"/>
                <w:spacing w:val="-1"/>
                <w:lang w:val="en-GB"/>
              </w:rPr>
            </w:pPr>
            <w:r w:rsidRPr="0014154D">
              <w:rPr>
                <w:rFonts w:cs="Fira Sans"/>
                <w:spacing w:val="-1"/>
                <w:lang w:val="en-GB"/>
              </w:rPr>
              <w:t>Outlays on intangible fixed assets</w:t>
            </w:r>
          </w:p>
        </w:tc>
        <w:tc>
          <w:tcPr>
            <w:tcW w:w="1464" w:type="dxa"/>
            <w:vAlign w:val="bottom"/>
          </w:tcPr>
          <w:p w14:paraId="366E26DD" w14:textId="0AA4E6C0" w:rsidR="00D243CE" w:rsidRPr="0014154D" w:rsidRDefault="00D243CE" w:rsidP="00D243CE">
            <w:pPr>
              <w:pStyle w:val="Tablicadanerodek"/>
              <w:rPr>
                <w:lang w:val="en-GB"/>
              </w:rPr>
            </w:pPr>
            <w:r w:rsidRPr="0014154D">
              <w:rPr>
                <w:lang w:val="en-GB" w:eastAsia="en-US"/>
              </w:rPr>
              <w:t>9.8</w:t>
            </w:r>
          </w:p>
        </w:tc>
        <w:tc>
          <w:tcPr>
            <w:tcW w:w="1465" w:type="dxa"/>
            <w:vAlign w:val="bottom"/>
          </w:tcPr>
          <w:p w14:paraId="3AD5C5FA" w14:textId="1375043A" w:rsidR="00D243CE" w:rsidRPr="0014154D" w:rsidRDefault="00D243CE" w:rsidP="00D243CE">
            <w:pPr>
              <w:pStyle w:val="Tablicadanerodek"/>
              <w:rPr>
                <w:lang w:val="en-GB"/>
              </w:rPr>
            </w:pPr>
            <w:r w:rsidRPr="0014154D">
              <w:rPr>
                <w:lang w:val="en-GB" w:eastAsia="en-US"/>
              </w:rPr>
              <w:t>3.1</w:t>
            </w:r>
          </w:p>
        </w:tc>
        <w:tc>
          <w:tcPr>
            <w:tcW w:w="1465" w:type="dxa"/>
            <w:noWrap/>
            <w:vAlign w:val="bottom"/>
          </w:tcPr>
          <w:p w14:paraId="3618CB8E" w14:textId="650D5DB5" w:rsidR="00D243CE" w:rsidRPr="0014154D" w:rsidRDefault="00D243CE" w:rsidP="00D243CE">
            <w:pPr>
              <w:pStyle w:val="Tablicadanerodek"/>
              <w:rPr>
                <w:lang w:val="en-GB"/>
              </w:rPr>
            </w:pPr>
            <w:r w:rsidRPr="0014154D">
              <w:rPr>
                <w:lang w:val="en-GB" w:eastAsia="en-US"/>
              </w:rPr>
              <w:t>32.0</w:t>
            </w:r>
          </w:p>
        </w:tc>
      </w:tr>
    </w:tbl>
    <w:p w14:paraId="71F5253A" w14:textId="2E8BFAA1" w:rsidR="00A16133" w:rsidRPr="0014154D" w:rsidRDefault="00A16133" w:rsidP="00A16133">
      <w:pPr>
        <w:spacing w:before="360" w:line="288" w:lineRule="auto"/>
        <w:ind w:right="-11"/>
        <w:rPr>
          <w:rFonts w:eastAsia="Times New Roman" w:cs="Fira Sans"/>
          <w:spacing w:val="-1"/>
          <w:szCs w:val="19"/>
          <w:lang w:val="en-GB" w:eastAsia="pl-PL"/>
        </w:rPr>
      </w:pPr>
      <w:r w:rsidRPr="0014154D">
        <w:rPr>
          <w:rFonts w:eastAsia="Times New Roman" w:cs="Fira Sans"/>
          <w:spacing w:val="-1"/>
          <w:szCs w:val="19"/>
          <w:lang w:val="en-GB" w:eastAsia="pl-PL"/>
        </w:rPr>
        <w:t xml:space="preserve">The investment outlays of cultural institutions in the first quarter of 2024 amounted to PLN 254.5 million and were higher by 19.0% than in the previous year. Over 50% of the total investment outlays were total investment outlays of cultural institutions from </w:t>
      </w:r>
      <w:proofErr w:type="spellStart"/>
      <w:r w:rsidRPr="0014154D">
        <w:rPr>
          <w:rFonts w:eastAsia="Times New Roman" w:cs="Fira Sans"/>
          <w:spacing w:val="-1"/>
          <w:szCs w:val="19"/>
          <w:lang w:val="en-GB" w:eastAsia="pl-PL"/>
        </w:rPr>
        <w:t>Mazowieckie</w:t>
      </w:r>
      <w:proofErr w:type="spellEnd"/>
      <w:r w:rsidRPr="0014154D">
        <w:rPr>
          <w:rFonts w:eastAsia="Times New Roman" w:cs="Fira Sans"/>
          <w:spacing w:val="-1"/>
          <w:szCs w:val="19"/>
          <w:lang w:val="en-GB" w:eastAsia="pl-PL"/>
        </w:rPr>
        <w:t xml:space="preserve"> Voivodship.</w:t>
      </w:r>
    </w:p>
    <w:p w14:paraId="64A20439" w14:textId="0997AB94" w:rsidR="00A16133" w:rsidRPr="0014154D" w:rsidRDefault="00A16133" w:rsidP="00A16133">
      <w:pPr>
        <w:spacing w:line="288" w:lineRule="auto"/>
        <w:ind w:right="-11"/>
        <w:rPr>
          <w:rFonts w:eastAsia="Times New Roman" w:cs="Fira Sans"/>
          <w:spacing w:val="-1"/>
          <w:szCs w:val="19"/>
          <w:lang w:val="en-GB" w:eastAsia="pl-PL"/>
        </w:rPr>
      </w:pPr>
      <w:r w:rsidRPr="0014154D">
        <w:rPr>
          <w:rFonts w:eastAsia="Times New Roman" w:cs="Fira Sans"/>
          <w:spacing w:val="-1"/>
          <w:szCs w:val="19"/>
          <w:lang w:val="en-GB" w:eastAsia="pl-PL"/>
        </w:rPr>
        <w:t xml:space="preserve">Investment outlays incurred by </w:t>
      </w:r>
      <w:r w:rsidR="009B566C" w:rsidRPr="0014154D">
        <w:rPr>
          <w:rFonts w:eastAsia="Times New Roman" w:cs="Fira Sans"/>
          <w:spacing w:val="-1"/>
          <w:szCs w:val="19"/>
          <w:lang w:val="en-GB" w:eastAsia="pl-PL"/>
        </w:rPr>
        <w:t>national</w:t>
      </w:r>
      <w:r w:rsidRPr="0014154D">
        <w:rPr>
          <w:rFonts w:eastAsia="Times New Roman" w:cs="Fira Sans"/>
          <w:spacing w:val="-1"/>
          <w:szCs w:val="19"/>
          <w:lang w:val="en-GB" w:eastAsia="pl-PL"/>
        </w:rPr>
        <w:t xml:space="preserve"> cultural institutions amounted to PLN 150.2 million, i.e. 59.0% of the total amount of investment outlays.</w:t>
      </w:r>
    </w:p>
    <w:p w14:paraId="3688FD1D" w14:textId="204EA4CA" w:rsidR="00A16133" w:rsidRPr="0014154D" w:rsidRDefault="00B67F00" w:rsidP="00B67F00">
      <w:pPr>
        <w:pStyle w:val="Tytuwykresu0"/>
        <w:spacing w:after="0"/>
        <w:ind w:left="709" w:hanging="709"/>
        <w:rPr>
          <w:rFonts w:ascii="Fira Sans" w:hAnsi="Fira Sans"/>
          <w:lang w:val="en-GB"/>
        </w:rPr>
      </w:pPr>
      <w:r w:rsidRPr="0014154D">
        <w:rPr>
          <w:rFonts w:cs="Fira Sans"/>
          <w:spacing w:val="-1"/>
          <w:szCs w:val="19"/>
          <w:lang w:val="en-GB"/>
        </w:rPr>
        <w:drawing>
          <wp:anchor distT="0" distB="0" distL="114300" distR="114300" simplePos="0" relativeHeight="251883520" behindDoc="0" locked="0" layoutInCell="1" allowOverlap="1" wp14:anchorId="74688039" wp14:editId="2553C5D3">
            <wp:simplePos x="0" y="0"/>
            <wp:positionH relativeFrom="margin">
              <wp:align>left</wp:align>
            </wp:positionH>
            <wp:positionV relativeFrom="paragraph">
              <wp:posOffset>457200</wp:posOffset>
            </wp:positionV>
            <wp:extent cx="5200650" cy="2438400"/>
            <wp:effectExtent l="0" t="0" r="0" b="0"/>
            <wp:wrapTopAndBottom/>
            <wp:docPr id="9" name="Obraz 9" descr="Chart 1. The pie chart presenting the investment outlays of cultural institutions by legal forms in the first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856" cy="2438476"/>
                    </a:xfrm>
                    <a:prstGeom prst="rect">
                      <a:avLst/>
                    </a:prstGeom>
                    <a:noFill/>
                  </pic:spPr>
                </pic:pic>
              </a:graphicData>
            </a:graphic>
            <wp14:sizeRelH relativeFrom="page">
              <wp14:pctWidth>0</wp14:pctWidth>
            </wp14:sizeRelH>
            <wp14:sizeRelV relativeFrom="page">
              <wp14:pctHeight>0</wp14:pctHeight>
            </wp14:sizeRelV>
          </wp:anchor>
        </w:drawing>
      </w:r>
      <w:r w:rsidR="00B4408B" w:rsidRPr="0014154D">
        <w:rPr>
          <w:rFonts w:ascii="Fira Sans" w:hAnsi="Fira Sans"/>
          <w:lang w:val="en-GB"/>
        </w:rPr>
        <w:t>Chart 1. Investment outlays of cultural institutions by legal forms in the first quarter of 2024</w:t>
      </w:r>
    </w:p>
    <w:p w14:paraId="7DEE4A34" w14:textId="2B636CB8" w:rsidR="00B6028F" w:rsidRPr="0014154D" w:rsidRDefault="00B6028F" w:rsidP="00B6028F">
      <w:pPr>
        <w:spacing w:before="360" w:line="288" w:lineRule="auto"/>
        <w:rPr>
          <w:rFonts w:eastAsia="Times New Roman" w:cs="Fira Sans"/>
          <w:spacing w:val="-1"/>
          <w:szCs w:val="19"/>
          <w:lang w:val="en-GB" w:eastAsia="pl-PL"/>
        </w:rPr>
      </w:pPr>
      <w:r w:rsidRPr="0014154D">
        <w:rPr>
          <w:rFonts w:eastAsia="Times New Roman" w:cs="Fira Sans"/>
          <w:spacing w:val="-1"/>
          <w:szCs w:val="19"/>
          <w:lang w:val="en-GB" w:eastAsia="pl-PL"/>
        </w:rPr>
        <w:t xml:space="preserve">In the first quarter of 2024 outlays of cultural institutions on intangible and legal assets decreased threefold compared to the corresponding period of the previous year and amounted to PLN 3.1 million. Almost 26% of the total outlays on intangible and legal assets were from </w:t>
      </w:r>
      <w:proofErr w:type="spellStart"/>
      <w:r w:rsidRPr="0014154D">
        <w:rPr>
          <w:rFonts w:eastAsia="Times New Roman" w:cs="Fira Sans"/>
          <w:spacing w:val="-1"/>
          <w:szCs w:val="19"/>
          <w:lang w:val="en-GB" w:eastAsia="pl-PL"/>
        </w:rPr>
        <w:t>Mazowieckie</w:t>
      </w:r>
      <w:proofErr w:type="spellEnd"/>
      <w:r w:rsidRPr="0014154D">
        <w:rPr>
          <w:rFonts w:eastAsia="Times New Roman" w:cs="Fira Sans"/>
          <w:spacing w:val="-1"/>
          <w:szCs w:val="19"/>
          <w:lang w:val="en-GB" w:eastAsia="pl-PL"/>
        </w:rPr>
        <w:t xml:space="preserve"> Voivodship.</w:t>
      </w:r>
    </w:p>
    <w:p w14:paraId="2BFE297D" w14:textId="7809A6C7" w:rsidR="00B6028F" w:rsidRPr="0014154D" w:rsidRDefault="00B6028F" w:rsidP="00B6028F">
      <w:pPr>
        <w:pStyle w:val="Tytutablicy"/>
        <w:ind w:left="709" w:hanging="709"/>
        <w:rPr>
          <w:lang w:val="en-GB"/>
        </w:rPr>
      </w:pPr>
      <w:r w:rsidRPr="0014154D">
        <w:rPr>
          <w:lang w:val="en-GB"/>
        </w:rPr>
        <w:lastRenderedPageBreak/>
        <w:t xml:space="preserve">Table 2. Total revenues and total costs of cultural institutions by selected divisions and classes of </w:t>
      </w:r>
      <w:proofErr w:type="spellStart"/>
      <w:r w:rsidRPr="0014154D">
        <w:rPr>
          <w:lang w:val="en-GB"/>
        </w:rPr>
        <w:t>PKD</w:t>
      </w:r>
      <w:proofErr w:type="spellEnd"/>
      <w:r w:rsidRPr="0014154D">
        <w:rPr>
          <w:lang w:val="en-GB"/>
        </w:rPr>
        <w:t xml:space="preserve"> classification in the first quarter of 2024</w:t>
      </w:r>
    </w:p>
    <w:tbl>
      <w:tblPr>
        <w:tblW w:w="0" w:type="auto"/>
        <w:tblBorders>
          <w:top w:val="single" w:sz="4" w:space="0" w:color="001D77"/>
          <w:bottom w:val="single" w:sz="4" w:space="0" w:color="001D77"/>
          <w:insideH w:val="single" w:sz="4" w:space="0" w:color="001D77"/>
          <w:insideV w:val="single" w:sz="4" w:space="0" w:color="001D77"/>
        </w:tblBorders>
        <w:tblLayout w:type="fixed"/>
        <w:tblCellMar>
          <w:left w:w="0" w:type="dxa"/>
          <w:right w:w="0" w:type="dxa"/>
        </w:tblCellMar>
        <w:tblLook w:val="00A0" w:firstRow="1" w:lastRow="0" w:firstColumn="1" w:lastColumn="0" w:noHBand="0" w:noVBand="0"/>
        <w:tblCaption w:val="Table 2. presenting total revenues and total costs of cultural institutions by selected divisions and classes of PKD classification in the first quarter of 2023"/>
      </w:tblPr>
      <w:tblGrid>
        <w:gridCol w:w="3969"/>
        <w:gridCol w:w="1229"/>
        <w:gridCol w:w="1230"/>
        <w:gridCol w:w="1230"/>
      </w:tblGrid>
      <w:tr w:rsidR="00B6028F" w:rsidRPr="0014154D" w14:paraId="57C744E9" w14:textId="77777777" w:rsidTr="0025325D">
        <w:trPr>
          <w:trHeight w:hRule="exact" w:val="910"/>
          <w:tblHeader/>
        </w:trPr>
        <w:tc>
          <w:tcPr>
            <w:tcW w:w="3969" w:type="dxa"/>
            <w:vMerge w:val="restart"/>
            <w:tcBorders>
              <w:top w:val="single" w:sz="4" w:space="0" w:color="001D77"/>
              <w:bottom w:val="single" w:sz="4" w:space="0" w:color="001D77"/>
              <w:right w:val="single" w:sz="4" w:space="0" w:color="001D77"/>
            </w:tcBorders>
            <w:vAlign w:val="center"/>
          </w:tcPr>
          <w:p w14:paraId="508A59F4" w14:textId="77777777" w:rsidR="00B6028F" w:rsidRPr="0014154D" w:rsidRDefault="00B6028F" w:rsidP="0025325D">
            <w:pPr>
              <w:pStyle w:val="Tablicagwka"/>
              <w:spacing w:before="0" w:after="0"/>
              <w:ind w:left="0"/>
              <w:jc w:val="center"/>
              <w:rPr>
                <w:lang w:val="en-GB"/>
              </w:rPr>
            </w:pPr>
            <w:r w:rsidRPr="0014154D">
              <w:rPr>
                <w:lang w:val="en-GB"/>
              </w:rPr>
              <w:t>Specification</w:t>
            </w:r>
          </w:p>
        </w:tc>
        <w:tc>
          <w:tcPr>
            <w:tcW w:w="1229" w:type="dxa"/>
            <w:vMerge w:val="restart"/>
            <w:tcBorders>
              <w:top w:val="single" w:sz="4" w:space="0" w:color="001D77"/>
              <w:left w:val="single" w:sz="4" w:space="0" w:color="001D77"/>
              <w:bottom w:val="single" w:sz="4" w:space="0" w:color="001D77"/>
              <w:right w:val="single" w:sz="4" w:space="0" w:color="001D77"/>
            </w:tcBorders>
            <w:vAlign w:val="center"/>
          </w:tcPr>
          <w:p w14:paraId="66A9D2A9" w14:textId="77777777" w:rsidR="00B6028F" w:rsidRPr="0014154D" w:rsidRDefault="00B6028F" w:rsidP="0025325D">
            <w:pPr>
              <w:pStyle w:val="Tablicagwkarodek"/>
              <w:suppressAutoHyphens/>
              <w:spacing w:before="0" w:after="0"/>
              <w:rPr>
                <w:lang w:val="en-GB"/>
              </w:rPr>
            </w:pPr>
            <w:r w:rsidRPr="0014154D">
              <w:rPr>
                <w:lang w:val="en-GB"/>
              </w:rPr>
              <w:t>Number of cultural institutions</w:t>
            </w:r>
          </w:p>
        </w:tc>
        <w:tc>
          <w:tcPr>
            <w:tcW w:w="1230" w:type="dxa"/>
            <w:tcBorders>
              <w:top w:val="single" w:sz="4" w:space="0" w:color="001D77"/>
              <w:left w:val="single" w:sz="4" w:space="0" w:color="001D77"/>
              <w:bottom w:val="single" w:sz="4" w:space="0" w:color="001D77"/>
              <w:right w:val="single" w:sz="4" w:space="0" w:color="001D77"/>
            </w:tcBorders>
            <w:vAlign w:val="center"/>
          </w:tcPr>
          <w:p w14:paraId="1C038240" w14:textId="77777777" w:rsidR="00B6028F" w:rsidRPr="0014154D" w:rsidRDefault="00B6028F" w:rsidP="0025325D">
            <w:pPr>
              <w:pStyle w:val="Tablicagwkarodek"/>
              <w:spacing w:before="0" w:after="0"/>
              <w:rPr>
                <w:lang w:val="en-GB"/>
              </w:rPr>
            </w:pPr>
            <w:r w:rsidRPr="0014154D">
              <w:rPr>
                <w:lang w:val="en-GB"/>
              </w:rPr>
              <w:t>Total revenues</w:t>
            </w:r>
          </w:p>
        </w:tc>
        <w:tc>
          <w:tcPr>
            <w:tcW w:w="1230" w:type="dxa"/>
            <w:tcBorders>
              <w:top w:val="single" w:sz="4" w:space="0" w:color="001D77"/>
              <w:left w:val="single" w:sz="4" w:space="0" w:color="001D77"/>
              <w:bottom w:val="single" w:sz="4" w:space="0" w:color="001D77"/>
            </w:tcBorders>
            <w:vAlign w:val="center"/>
          </w:tcPr>
          <w:p w14:paraId="1A9E08C9" w14:textId="77777777" w:rsidR="009B566C" w:rsidRPr="0014154D" w:rsidRDefault="00B6028F" w:rsidP="0025325D">
            <w:pPr>
              <w:pStyle w:val="Tablicagwkarodek"/>
              <w:spacing w:before="0" w:after="0"/>
              <w:rPr>
                <w:lang w:val="en-GB"/>
              </w:rPr>
            </w:pPr>
            <w:r w:rsidRPr="0014154D">
              <w:rPr>
                <w:lang w:val="en-GB"/>
              </w:rPr>
              <w:t xml:space="preserve">Total </w:t>
            </w:r>
          </w:p>
          <w:p w14:paraId="4DA89775" w14:textId="3BC3CD74" w:rsidR="00B6028F" w:rsidRPr="0014154D" w:rsidRDefault="00B6028F" w:rsidP="0025325D">
            <w:pPr>
              <w:pStyle w:val="Tablicagwkarodek"/>
              <w:spacing w:before="0" w:after="0"/>
              <w:rPr>
                <w:lang w:val="en-GB"/>
              </w:rPr>
            </w:pPr>
            <w:r w:rsidRPr="0014154D">
              <w:rPr>
                <w:lang w:val="en-GB"/>
              </w:rPr>
              <w:t>costs</w:t>
            </w:r>
          </w:p>
        </w:tc>
      </w:tr>
      <w:tr w:rsidR="00B6028F" w:rsidRPr="0014154D" w14:paraId="2820C3D0" w14:textId="77777777" w:rsidTr="0025325D">
        <w:tblPrEx>
          <w:tblCellMar>
            <w:left w:w="68" w:type="dxa"/>
            <w:right w:w="68" w:type="dxa"/>
          </w:tblCellMar>
        </w:tblPrEx>
        <w:trPr>
          <w:trHeight w:hRule="exact" w:val="376"/>
          <w:tblHeader/>
        </w:trPr>
        <w:tc>
          <w:tcPr>
            <w:tcW w:w="3969" w:type="dxa"/>
            <w:vMerge/>
            <w:vAlign w:val="center"/>
          </w:tcPr>
          <w:p w14:paraId="12AB7D95" w14:textId="77777777" w:rsidR="00B6028F" w:rsidRPr="0014154D" w:rsidRDefault="00B6028F" w:rsidP="0025325D">
            <w:pPr>
              <w:pStyle w:val="TableParagraph"/>
              <w:kinsoku w:val="0"/>
              <w:overflowPunct w:val="0"/>
              <w:spacing w:line="240" w:lineRule="exact"/>
              <w:jc w:val="center"/>
              <w:rPr>
                <w:rFonts w:ascii="Fira Sans" w:hAnsi="Fira Sans"/>
                <w:sz w:val="19"/>
                <w:szCs w:val="19"/>
                <w:lang w:val="en-GB"/>
              </w:rPr>
            </w:pPr>
          </w:p>
        </w:tc>
        <w:tc>
          <w:tcPr>
            <w:tcW w:w="1229" w:type="dxa"/>
            <w:vMerge/>
            <w:vAlign w:val="center"/>
          </w:tcPr>
          <w:p w14:paraId="57FD75EC" w14:textId="77777777" w:rsidR="00B6028F" w:rsidRPr="0014154D" w:rsidRDefault="00B6028F" w:rsidP="0025325D">
            <w:pPr>
              <w:pStyle w:val="Tablicagwkarodek"/>
              <w:spacing w:before="0" w:after="0"/>
              <w:rPr>
                <w:lang w:val="en-GB"/>
              </w:rPr>
            </w:pPr>
          </w:p>
        </w:tc>
        <w:tc>
          <w:tcPr>
            <w:tcW w:w="2460" w:type="dxa"/>
            <w:gridSpan w:val="2"/>
            <w:vAlign w:val="center"/>
          </w:tcPr>
          <w:p w14:paraId="31A1D2CD" w14:textId="77777777" w:rsidR="00B6028F" w:rsidRPr="0014154D" w:rsidRDefault="00B6028F" w:rsidP="0025325D">
            <w:pPr>
              <w:pStyle w:val="Tablicagwkarodek"/>
              <w:spacing w:before="0" w:after="0"/>
              <w:rPr>
                <w:lang w:val="en-GB"/>
              </w:rPr>
            </w:pPr>
            <w:r w:rsidRPr="0014154D">
              <w:rPr>
                <w:lang w:val="en-GB"/>
              </w:rPr>
              <w:t>in PLN million</w:t>
            </w:r>
          </w:p>
        </w:tc>
      </w:tr>
      <w:tr w:rsidR="00B6028F" w:rsidRPr="0014154D" w14:paraId="395334A9" w14:textId="77777777" w:rsidTr="0025325D">
        <w:tblPrEx>
          <w:tblCellMar>
            <w:left w:w="68" w:type="dxa"/>
            <w:right w:w="68" w:type="dxa"/>
          </w:tblCellMar>
        </w:tblPrEx>
        <w:trPr>
          <w:trHeight w:val="301"/>
          <w:tblHeader/>
        </w:trPr>
        <w:tc>
          <w:tcPr>
            <w:tcW w:w="3969" w:type="dxa"/>
            <w:vAlign w:val="center"/>
          </w:tcPr>
          <w:p w14:paraId="0C04C507" w14:textId="77777777" w:rsidR="00B6028F" w:rsidRPr="0014154D" w:rsidRDefault="00B6028F" w:rsidP="00B6028F">
            <w:pPr>
              <w:pStyle w:val="Tablicaboczek"/>
              <w:spacing w:before="0" w:after="0"/>
              <w:rPr>
                <w:b/>
                <w:lang w:val="en-GB"/>
              </w:rPr>
            </w:pPr>
            <w:r w:rsidRPr="0014154D">
              <w:rPr>
                <w:b/>
                <w:lang w:val="en-GB"/>
              </w:rPr>
              <w:t>Grand total</w:t>
            </w:r>
          </w:p>
        </w:tc>
        <w:tc>
          <w:tcPr>
            <w:tcW w:w="1229" w:type="dxa"/>
            <w:tcMar>
              <w:top w:w="57" w:type="dxa"/>
              <w:left w:w="57" w:type="dxa"/>
              <w:bottom w:w="57" w:type="dxa"/>
              <w:right w:w="57" w:type="dxa"/>
            </w:tcMar>
            <w:vAlign w:val="center"/>
          </w:tcPr>
          <w:p w14:paraId="2E075571" w14:textId="6BEA4E67" w:rsidR="00B6028F" w:rsidRPr="0014154D" w:rsidRDefault="0025019A" w:rsidP="00B6028F">
            <w:pPr>
              <w:pStyle w:val="Tablicadanerodek"/>
              <w:spacing w:before="0" w:after="0"/>
              <w:rPr>
                <w:b/>
                <w:lang w:val="en-GB"/>
              </w:rPr>
            </w:pPr>
            <w:r w:rsidRPr="0014154D">
              <w:rPr>
                <w:b/>
                <w:lang w:val="en-GB" w:eastAsia="en-US"/>
              </w:rPr>
              <w:t>4,</w:t>
            </w:r>
            <w:r w:rsidR="00B6028F" w:rsidRPr="0014154D">
              <w:rPr>
                <w:b/>
                <w:lang w:val="en-GB" w:eastAsia="en-US"/>
              </w:rPr>
              <w:t>704</w:t>
            </w:r>
          </w:p>
        </w:tc>
        <w:tc>
          <w:tcPr>
            <w:tcW w:w="1230" w:type="dxa"/>
            <w:tcMar>
              <w:top w:w="57" w:type="dxa"/>
              <w:left w:w="57" w:type="dxa"/>
              <w:bottom w:w="57" w:type="dxa"/>
              <w:right w:w="57" w:type="dxa"/>
            </w:tcMar>
            <w:vAlign w:val="center"/>
          </w:tcPr>
          <w:p w14:paraId="6A6596DB" w14:textId="4C0D0308" w:rsidR="00B6028F" w:rsidRPr="0014154D" w:rsidRDefault="0025019A" w:rsidP="00B6028F">
            <w:pPr>
              <w:pStyle w:val="Tablicadanerodek"/>
              <w:spacing w:before="0" w:after="0"/>
              <w:rPr>
                <w:b/>
                <w:lang w:val="en-GB"/>
              </w:rPr>
            </w:pPr>
            <w:r w:rsidRPr="0014154D">
              <w:rPr>
                <w:b/>
                <w:lang w:val="en-GB" w:eastAsia="en-US"/>
              </w:rPr>
              <w:t>3,812.</w:t>
            </w:r>
            <w:r w:rsidR="00B6028F" w:rsidRPr="0014154D">
              <w:rPr>
                <w:b/>
                <w:lang w:val="en-GB" w:eastAsia="en-US"/>
              </w:rPr>
              <w:t>3</w:t>
            </w:r>
          </w:p>
        </w:tc>
        <w:tc>
          <w:tcPr>
            <w:tcW w:w="1230" w:type="dxa"/>
            <w:tcMar>
              <w:top w:w="57" w:type="dxa"/>
              <w:left w:w="57" w:type="dxa"/>
              <w:bottom w:w="57" w:type="dxa"/>
              <w:right w:w="57" w:type="dxa"/>
            </w:tcMar>
            <w:vAlign w:val="center"/>
          </w:tcPr>
          <w:p w14:paraId="56594259" w14:textId="5E2A78AF" w:rsidR="00B6028F" w:rsidRPr="0014154D" w:rsidRDefault="0025019A" w:rsidP="00B6028F">
            <w:pPr>
              <w:pStyle w:val="Tablicadanerodek"/>
              <w:spacing w:before="0" w:after="0"/>
              <w:rPr>
                <w:b/>
                <w:lang w:val="en-GB"/>
              </w:rPr>
            </w:pPr>
            <w:r w:rsidRPr="0014154D">
              <w:rPr>
                <w:b/>
                <w:lang w:val="en-GB" w:eastAsia="en-US"/>
              </w:rPr>
              <w:t>3,458.</w:t>
            </w:r>
            <w:r w:rsidR="00B6028F" w:rsidRPr="0014154D">
              <w:rPr>
                <w:b/>
                <w:lang w:val="en-GB" w:eastAsia="en-US"/>
              </w:rPr>
              <w:t>1</w:t>
            </w:r>
          </w:p>
        </w:tc>
      </w:tr>
      <w:tr w:rsidR="00B6028F" w:rsidRPr="0014154D" w14:paraId="7026E6A3" w14:textId="77777777" w:rsidTr="0025325D">
        <w:tblPrEx>
          <w:tblCellMar>
            <w:left w:w="68" w:type="dxa"/>
            <w:right w:w="68" w:type="dxa"/>
          </w:tblCellMar>
        </w:tblPrEx>
        <w:trPr>
          <w:trHeight w:val="301"/>
          <w:tblHeader/>
        </w:trPr>
        <w:tc>
          <w:tcPr>
            <w:tcW w:w="3969" w:type="dxa"/>
            <w:vAlign w:val="center"/>
          </w:tcPr>
          <w:p w14:paraId="4818198D" w14:textId="77777777" w:rsidR="00B6028F" w:rsidRPr="0014154D" w:rsidRDefault="00B6028F" w:rsidP="00B6028F">
            <w:pPr>
              <w:pStyle w:val="Tablicaboczek"/>
              <w:spacing w:before="0" w:after="0"/>
              <w:ind w:left="284"/>
              <w:rPr>
                <w:lang w:val="en-GB"/>
              </w:rPr>
            </w:pPr>
            <w:r w:rsidRPr="0014154D">
              <w:rPr>
                <w:lang w:val="en-GB"/>
              </w:rPr>
              <w:t xml:space="preserve">local government </w:t>
            </w:r>
            <w:proofErr w:type="gramStart"/>
            <w:r w:rsidRPr="0014154D">
              <w:rPr>
                <w:lang w:val="en-GB"/>
              </w:rPr>
              <w:t>units</w:t>
            </w:r>
            <w:proofErr w:type="gramEnd"/>
            <w:r w:rsidRPr="0014154D">
              <w:rPr>
                <w:lang w:val="en-GB"/>
              </w:rPr>
              <w:t xml:space="preserve"> property</w:t>
            </w:r>
          </w:p>
        </w:tc>
        <w:tc>
          <w:tcPr>
            <w:tcW w:w="1229" w:type="dxa"/>
            <w:tcMar>
              <w:top w:w="57" w:type="dxa"/>
              <w:left w:w="57" w:type="dxa"/>
              <w:bottom w:w="57" w:type="dxa"/>
              <w:right w:w="57" w:type="dxa"/>
            </w:tcMar>
            <w:vAlign w:val="center"/>
          </w:tcPr>
          <w:p w14:paraId="5F990E1D" w14:textId="44542A25" w:rsidR="00B6028F" w:rsidRPr="0014154D" w:rsidRDefault="0025019A" w:rsidP="00B6028F">
            <w:pPr>
              <w:pStyle w:val="Tablicadanerodek"/>
              <w:spacing w:before="0" w:after="0"/>
              <w:rPr>
                <w:lang w:val="en-GB"/>
              </w:rPr>
            </w:pPr>
            <w:r w:rsidRPr="0014154D">
              <w:rPr>
                <w:lang w:val="en-GB" w:eastAsia="en-US"/>
              </w:rPr>
              <w:t>4,</w:t>
            </w:r>
            <w:r w:rsidR="00B6028F" w:rsidRPr="0014154D">
              <w:rPr>
                <w:lang w:val="en-GB" w:eastAsia="en-US"/>
              </w:rPr>
              <w:t>627</w:t>
            </w:r>
          </w:p>
        </w:tc>
        <w:tc>
          <w:tcPr>
            <w:tcW w:w="1230" w:type="dxa"/>
            <w:tcMar>
              <w:top w:w="57" w:type="dxa"/>
              <w:left w:w="57" w:type="dxa"/>
              <w:bottom w:w="57" w:type="dxa"/>
              <w:right w:w="57" w:type="dxa"/>
            </w:tcMar>
            <w:vAlign w:val="center"/>
          </w:tcPr>
          <w:p w14:paraId="0DBF4ADA" w14:textId="0035E5EF" w:rsidR="00B6028F" w:rsidRPr="0014154D" w:rsidRDefault="0025019A" w:rsidP="00B6028F">
            <w:pPr>
              <w:pStyle w:val="Tablicadanerodek"/>
              <w:spacing w:before="0" w:after="0"/>
              <w:rPr>
                <w:lang w:val="en-GB"/>
              </w:rPr>
            </w:pPr>
            <w:r w:rsidRPr="0014154D">
              <w:rPr>
                <w:spacing w:val="1"/>
                <w:lang w:val="en-GB" w:eastAsia="en-US"/>
              </w:rPr>
              <w:t>3,157.</w:t>
            </w:r>
            <w:r w:rsidR="00B6028F" w:rsidRPr="0014154D">
              <w:rPr>
                <w:spacing w:val="1"/>
                <w:lang w:val="en-GB" w:eastAsia="en-US"/>
              </w:rPr>
              <w:t>9</w:t>
            </w:r>
          </w:p>
        </w:tc>
        <w:tc>
          <w:tcPr>
            <w:tcW w:w="1230" w:type="dxa"/>
            <w:tcMar>
              <w:top w:w="57" w:type="dxa"/>
              <w:left w:w="57" w:type="dxa"/>
              <w:bottom w:w="57" w:type="dxa"/>
              <w:right w:w="57" w:type="dxa"/>
            </w:tcMar>
            <w:vAlign w:val="center"/>
          </w:tcPr>
          <w:p w14:paraId="7EA73847" w14:textId="45686918" w:rsidR="00B6028F" w:rsidRPr="0014154D" w:rsidRDefault="0025019A" w:rsidP="00B6028F">
            <w:pPr>
              <w:pStyle w:val="Tablicadanerodek"/>
              <w:spacing w:before="0" w:after="0"/>
              <w:rPr>
                <w:lang w:val="en-GB"/>
              </w:rPr>
            </w:pPr>
            <w:r w:rsidRPr="0014154D">
              <w:rPr>
                <w:lang w:val="en-GB" w:eastAsia="en-US"/>
              </w:rPr>
              <w:t>2,878.</w:t>
            </w:r>
            <w:r w:rsidR="00B6028F" w:rsidRPr="0014154D">
              <w:rPr>
                <w:lang w:val="en-GB" w:eastAsia="en-US"/>
              </w:rPr>
              <w:t>7</w:t>
            </w:r>
          </w:p>
        </w:tc>
      </w:tr>
      <w:tr w:rsidR="00B6028F" w:rsidRPr="0014154D" w14:paraId="4F8A06AF" w14:textId="77777777" w:rsidTr="0025325D">
        <w:tblPrEx>
          <w:tblCellMar>
            <w:left w:w="68" w:type="dxa"/>
            <w:right w:w="68" w:type="dxa"/>
          </w:tblCellMar>
        </w:tblPrEx>
        <w:trPr>
          <w:trHeight w:val="301"/>
          <w:tblHeader/>
        </w:trPr>
        <w:tc>
          <w:tcPr>
            <w:tcW w:w="3969" w:type="dxa"/>
            <w:vAlign w:val="center"/>
          </w:tcPr>
          <w:p w14:paraId="1F6AFC52" w14:textId="77777777" w:rsidR="00B6028F" w:rsidRPr="0014154D" w:rsidRDefault="00B6028F" w:rsidP="00B6028F">
            <w:pPr>
              <w:pStyle w:val="Tablicaboczek"/>
              <w:spacing w:before="0" w:after="0"/>
              <w:ind w:left="284"/>
              <w:rPr>
                <w:lang w:val="en-GB"/>
              </w:rPr>
            </w:pPr>
            <w:r w:rsidRPr="0014154D">
              <w:rPr>
                <w:lang w:val="en-GB"/>
              </w:rPr>
              <w:t>government property</w:t>
            </w:r>
          </w:p>
        </w:tc>
        <w:tc>
          <w:tcPr>
            <w:tcW w:w="1229" w:type="dxa"/>
            <w:tcMar>
              <w:top w:w="57" w:type="dxa"/>
              <w:left w:w="57" w:type="dxa"/>
              <w:bottom w:w="57" w:type="dxa"/>
              <w:right w:w="57" w:type="dxa"/>
            </w:tcMar>
            <w:vAlign w:val="center"/>
          </w:tcPr>
          <w:p w14:paraId="665E8810" w14:textId="6E4DA3FD" w:rsidR="00B6028F" w:rsidRPr="0014154D" w:rsidRDefault="00B6028F" w:rsidP="00B6028F">
            <w:pPr>
              <w:pStyle w:val="Tablicadanerodek"/>
              <w:spacing w:before="0" w:after="0"/>
              <w:rPr>
                <w:lang w:val="en-GB"/>
              </w:rPr>
            </w:pPr>
            <w:r w:rsidRPr="0014154D">
              <w:rPr>
                <w:lang w:val="en-GB" w:eastAsia="en-US"/>
              </w:rPr>
              <w:t>77</w:t>
            </w:r>
          </w:p>
        </w:tc>
        <w:tc>
          <w:tcPr>
            <w:tcW w:w="1230" w:type="dxa"/>
            <w:tcMar>
              <w:top w:w="57" w:type="dxa"/>
              <w:left w:w="57" w:type="dxa"/>
              <w:bottom w:w="57" w:type="dxa"/>
              <w:right w:w="57" w:type="dxa"/>
            </w:tcMar>
            <w:vAlign w:val="center"/>
          </w:tcPr>
          <w:p w14:paraId="5396C971" w14:textId="13F396F9" w:rsidR="00B6028F" w:rsidRPr="0014154D" w:rsidRDefault="0025019A" w:rsidP="00B6028F">
            <w:pPr>
              <w:pStyle w:val="Tablicadanerodek"/>
              <w:spacing w:before="0" w:after="0"/>
              <w:rPr>
                <w:lang w:val="en-GB"/>
              </w:rPr>
            </w:pPr>
            <w:r w:rsidRPr="0014154D">
              <w:rPr>
                <w:lang w:val="en-GB" w:eastAsia="en-US"/>
              </w:rPr>
              <w:t>654.</w:t>
            </w:r>
            <w:r w:rsidR="00B6028F" w:rsidRPr="0014154D">
              <w:rPr>
                <w:lang w:val="en-GB" w:eastAsia="en-US"/>
              </w:rPr>
              <w:t>4</w:t>
            </w:r>
          </w:p>
        </w:tc>
        <w:tc>
          <w:tcPr>
            <w:tcW w:w="1230" w:type="dxa"/>
            <w:tcMar>
              <w:top w:w="57" w:type="dxa"/>
              <w:left w:w="57" w:type="dxa"/>
              <w:bottom w:w="57" w:type="dxa"/>
              <w:right w:w="57" w:type="dxa"/>
            </w:tcMar>
            <w:vAlign w:val="center"/>
          </w:tcPr>
          <w:p w14:paraId="5ABAE903" w14:textId="472F70FC" w:rsidR="00B6028F" w:rsidRPr="0014154D" w:rsidRDefault="0025019A" w:rsidP="00B6028F">
            <w:pPr>
              <w:pStyle w:val="Tablicadanerodek"/>
              <w:spacing w:before="0" w:after="0"/>
              <w:rPr>
                <w:lang w:val="en-GB"/>
              </w:rPr>
            </w:pPr>
            <w:r w:rsidRPr="0014154D">
              <w:rPr>
                <w:lang w:val="en-GB" w:eastAsia="en-US"/>
              </w:rPr>
              <w:t>579.</w:t>
            </w:r>
            <w:r w:rsidR="00B6028F" w:rsidRPr="0014154D">
              <w:rPr>
                <w:lang w:val="en-GB" w:eastAsia="en-US"/>
              </w:rPr>
              <w:t>4</w:t>
            </w:r>
          </w:p>
        </w:tc>
      </w:tr>
      <w:tr w:rsidR="00B6028F" w:rsidRPr="0014154D" w14:paraId="5EB2EF34" w14:textId="77777777" w:rsidTr="0025325D">
        <w:tblPrEx>
          <w:tblCellMar>
            <w:left w:w="68" w:type="dxa"/>
            <w:right w:w="68" w:type="dxa"/>
          </w:tblCellMar>
        </w:tblPrEx>
        <w:trPr>
          <w:trHeight w:val="301"/>
          <w:tblHeader/>
        </w:trPr>
        <w:tc>
          <w:tcPr>
            <w:tcW w:w="3969" w:type="dxa"/>
            <w:vAlign w:val="center"/>
          </w:tcPr>
          <w:p w14:paraId="7D2F454E" w14:textId="77777777" w:rsidR="00B6028F" w:rsidRPr="0014154D" w:rsidRDefault="00B6028F" w:rsidP="00B6028F">
            <w:pPr>
              <w:pStyle w:val="Tablicaboczek"/>
              <w:spacing w:before="0" w:after="0"/>
              <w:ind w:left="142"/>
              <w:rPr>
                <w:lang w:val="en-GB"/>
              </w:rPr>
            </w:pPr>
            <w:r w:rsidRPr="0014154D">
              <w:rPr>
                <w:lang w:val="en-GB"/>
              </w:rPr>
              <w:t>of which:</w:t>
            </w:r>
          </w:p>
        </w:tc>
        <w:tc>
          <w:tcPr>
            <w:tcW w:w="1229" w:type="dxa"/>
            <w:tcMar>
              <w:top w:w="57" w:type="dxa"/>
              <w:left w:w="57" w:type="dxa"/>
              <w:bottom w:w="57" w:type="dxa"/>
              <w:right w:w="57" w:type="dxa"/>
            </w:tcMar>
            <w:vAlign w:val="center"/>
          </w:tcPr>
          <w:p w14:paraId="1982CA75" w14:textId="77777777" w:rsidR="00B6028F" w:rsidRPr="0014154D" w:rsidRDefault="00B6028F" w:rsidP="00B6028F">
            <w:pPr>
              <w:pStyle w:val="Tablicadanerodek"/>
              <w:spacing w:before="0" w:after="0"/>
              <w:rPr>
                <w:lang w:val="en-GB"/>
              </w:rPr>
            </w:pPr>
          </w:p>
        </w:tc>
        <w:tc>
          <w:tcPr>
            <w:tcW w:w="1230" w:type="dxa"/>
            <w:tcMar>
              <w:top w:w="57" w:type="dxa"/>
              <w:left w:w="57" w:type="dxa"/>
              <w:bottom w:w="57" w:type="dxa"/>
              <w:right w:w="57" w:type="dxa"/>
            </w:tcMar>
            <w:vAlign w:val="center"/>
          </w:tcPr>
          <w:p w14:paraId="499DAD91" w14:textId="77777777" w:rsidR="00B6028F" w:rsidRPr="0014154D" w:rsidRDefault="00B6028F" w:rsidP="00B6028F">
            <w:pPr>
              <w:pStyle w:val="Tablicadanerodek"/>
              <w:spacing w:before="0" w:after="0"/>
              <w:rPr>
                <w:lang w:val="en-GB"/>
              </w:rPr>
            </w:pPr>
          </w:p>
        </w:tc>
        <w:tc>
          <w:tcPr>
            <w:tcW w:w="1230" w:type="dxa"/>
            <w:tcMar>
              <w:top w:w="57" w:type="dxa"/>
              <w:left w:w="57" w:type="dxa"/>
              <w:bottom w:w="57" w:type="dxa"/>
              <w:right w:w="57" w:type="dxa"/>
            </w:tcMar>
            <w:vAlign w:val="center"/>
          </w:tcPr>
          <w:p w14:paraId="41185CF5" w14:textId="77777777" w:rsidR="00B6028F" w:rsidRPr="0014154D" w:rsidRDefault="00B6028F" w:rsidP="00B6028F">
            <w:pPr>
              <w:pStyle w:val="Tablicadanerodek"/>
              <w:spacing w:before="0" w:after="0"/>
              <w:rPr>
                <w:spacing w:val="1"/>
                <w:lang w:val="en-GB"/>
              </w:rPr>
            </w:pPr>
          </w:p>
        </w:tc>
      </w:tr>
      <w:tr w:rsidR="00B6028F" w:rsidRPr="0014154D" w14:paraId="34DB1801" w14:textId="77777777" w:rsidTr="0025325D">
        <w:tblPrEx>
          <w:tblCellMar>
            <w:left w:w="68" w:type="dxa"/>
            <w:right w:w="68" w:type="dxa"/>
          </w:tblCellMar>
        </w:tblPrEx>
        <w:trPr>
          <w:trHeight w:val="301"/>
          <w:tblHeader/>
        </w:trPr>
        <w:tc>
          <w:tcPr>
            <w:tcW w:w="3969" w:type="dxa"/>
            <w:vAlign w:val="bottom"/>
          </w:tcPr>
          <w:p w14:paraId="118F93AE" w14:textId="77777777" w:rsidR="00B6028F" w:rsidRPr="0014154D" w:rsidRDefault="00B6028F" w:rsidP="00B6028F">
            <w:pPr>
              <w:pStyle w:val="Tablicaboczek"/>
              <w:spacing w:before="0" w:after="0"/>
              <w:ind w:left="454" w:hanging="170"/>
              <w:rPr>
                <w:lang w:val="en-GB"/>
              </w:rPr>
            </w:pPr>
            <w:r w:rsidRPr="0014154D">
              <w:rPr>
                <w:lang w:val="en-GB"/>
              </w:rPr>
              <w:t>creative, arts and entertainment activities</w:t>
            </w:r>
          </w:p>
        </w:tc>
        <w:tc>
          <w:tcPr>
            <w:tcW w:w="1229" w:type="dxa"/>
            <w:tcMar>
              <w:top w:w="57" w:type="dxa"/>
              <w:left w:w="57" w:type="dxa"/>
              <w:bottom w:w="57" w:type="dxa"/>
              <w:right w:w="57" w:type="dxa"/>
            </w:tcMar>
            <w:vAlign w:val="bottom"/>
          </w:tcPr>
          <w:p w14:paraId="4C21425E" w14:textId="37DB94D2" w:rsidR="00B6028F" w:rsidRPr="0014154D" w:rsidRDefault="0025019A" w:rsidP="00B6028F">
            <w:pPr>
              <w:pStyle w:val="Tablicadanerodek"/>
              <w:spacing w:before="0" w:after="0"/>
              <w:rPr>
                <w:lang w:val="en-GB"/>
              </w:rPr>
            </w:pPr>
            <w:r w:rsidRPr="0014154D">
              <w:rPr>
                <w:lang w:val="en-GB" w:eastAsia="en-US"/>
              </w:rPr>
              <w:t>2,</w:t>
            </w:r>
            <w:r w:rsidR="00B6028F" w:rsidRPr="0014154D">
              <w:rPr>
                <w:lang w:val="en-GB" w:eastAsia="en-US"/>
              </w:rPr>
              <w:t>333</w:t>
            </w:r>
          </w:p>
        </w:tc>
        <w:tc>
          <w:tcPr>
            <w:tcW w:w="1230" w:type="dxa"/>
            <w:tcMar>
              <w:top w:w="57" w:type="dxa"/>
              <w:left w:w="57" w:type="dxa"/>
              <w:bottom w:w="57" w:type="dxa"/>
              <w:right w:w="57" w:type="dxa"/>
            </w:tcMar>
            <w:vAlign w:val="bottom"/>
          </w:tcPr>
          <w:p w14:paraId="32FBE6EB" w14:textId="0978C212" w:rsidR="00B6028F" w:rsidRPr="0014154D" w:rsidRDefault="0025019A" w:rsidP="00B6028F">
            <w:pPr>
              <w:pStyle w:val="Tablicadanerodek"/>
              <w:spacing w:before="0" w:after="0"/>
              <w:rPr>
                <w:lang w:val="en-GB"/>
              </w:rPr>
            </w:pPr>
            <w:r w:rsidRPr="0014154D">
              <w:rPr>
                <w:lang w:val="en-GB" w:eastAsia="en-US"/>
              </w:rPr>
              <w:t>2,351.</w:t>
            </w:r>
            <w:r w:rsidR="00B6028F" w:rsidRPr="0014154D">
              <w:rPr>
                <w:lang w:val="en-GB" w:eastAsia="en-US"/>
              </w:rPr>
              <w:t>2</w:t>
            </w:r>
          </w:p>
        </w:tc>
        <w:tc>
          <w:tcPr>
            <w:tcW w:w="1230" w:type="dxa"/>
            <w:tcMar>
              <w:top w:w="57" w:type="dxa"/>
              <w:left w:w="57" w:type="dxa"/>
              <w:bottom w:w="57" w:type="dxa"/>
              <w:right w:w="57" w:type="dxa"/>
            </w:tcMar>
            <w:vAlign w:val="bottom"/>
          </w:tcPr>
          <w:p w14:paraId="04D685E3" w14:textId="62AEDBD9" w:rsidR="00B6028F" w:rsidRPr="0014154D" w:rsidRDefault="0025019A" w:rsidP="00B6028F">
            <w:pPr>
              <w:pStyle w:val="Tablicadanerodek"/>
              <w:spacing w:before="0" w:after="0"/>
              <w:rPr>
                <w:lang w:val="en-GB"/>
              </w:rPr>
            </w:pPr>
            <w:r w:rsidRPr="0014154D">
              <w:rPr>
                <w:spacing w:val="1"/>
                <w:lang w:val="en-GB" w:eastAsia="en-US"/>
              </w:rPr>
              <w:t>2,109.</w:t>
            </w:r>
            <w:r w:rsidR="00B6028F" w:rsidRPr="0014154D">
              <w:rPr>
                <w:spacing w:val="1"/>
                <w:lang w:val="en-GB" w:eastAsia="en-US"/>
              </w:rPr>
              <w:t>5</w:t>
            </w:r>
          </w:p>
        </w:tc>
      </w:tr>
      <w:tr w:rsidR="00B6028F" w:rsidRPr="0014154D" w14:paraId="43CCCBC7" w14:textId="77777777" w:rsidTr="0025325D">
        <w:tblPrEx>
          <w:tblCellMar>
            <w:left w:w="68" w:type="dxa"/>
            <w:right w:w="68" w:type="dxa"/>
          </w:tblCellMar>
        </w:tblPrEx>
        <w:trPr>
          <w:trHeight w:val="301"/>
          <w:tblHeader/>
        </w:trPr>
        <w:tc>
          <w:tcPr>
            <w:tcW w:w="3969" w:type="dxa"/>
            <w:vAlign w:val="center"/>
          </w:tcPr>
          <w:p w14:paraId="54349D3A" w14:textId="77777777" w:rsidR="00B6028F" w:rsidRPr="0014154D" w:rsidRDefault="00B6028F" w:rsidP="00B6028F">
            <w:pPr>
              <w:pStyle w:val="Tablicaboczek"/>
              <w:spacing w:before="0" w:after="0"/>
              <w:ind w:left="567"/>
              <w:rPr>
                <w:lang w:val="en-GB"/>
              </w:rPr>
            </w:pPr>
            <w:r w:rsidRPr="0014154D">
              <w:rPr>
                <w:lang w:val="en-GB"/>
              </w:rPr>
              <w:t>of which:</w:t>
            </w:r>
          </w:p>
        </w:tc>
        <w:tc>
          <w:tcPr>
            <w:tcW w:w="1229" w:type="dxa"/>
            <w:tcMar>
              <w:top w:w="57" w:type="dxa"/>
              <w:left w:w="57" w:type="dxa"/>
              <w:bottom w:w="57" w:type="dxa"/>
              <w:right w:w="57" w:type="dxa"/>
            </w:tcMar>
            <w:vAlign w:val="center"/>
          </w:tcPr>
          <w:p w14:paraId="0180A320" w14:textId="77777777" w:rsidR="00B6028F" w:rsidRPr="0014154D" w:rsidRDefault="00B6028F" w:rsidP="00B6028F">
            <w:pPr>
              <w:pStyle w:val="Tablicadanerodek"/>
              <w:spacing w:before="0" w:after="0"/>
              <w:rPr>
                <w:spacing w:val="-1"/>
                <w:lang w:val="en-GB"/>
              </w:rPr>
            </w:pPr>
          </w:p>
        </w:tc>
        <w:tc>
          <w:tcPr>
            <w:tcW w:w="1230" w:type="dxa"/>
            <w:tcMar>
              <w:top w:w="57" w:type="dxa"/>
              <w:left w:w="57" w:type="dxa"/>
              <w:bottom w:w="57" w:type="dxa"/>
              <w:right w:w="57" w:type="dxa"/>
            </w:tcMar>
            <w:vAlign w:val="center"/>
          </w:tcPr>
          <w:p w14:paraId="3EFEA910" w14:textId="77777777" w:rsidR="00B6028F" w:rsidRPr="0014154D" w:rsidRDefault="00B6028F" w:rsidP="00B6028F">
            <w:pPr>
              <w:pStyle w:val="Tablicadanerodek"/>
              <w:spacing w:before="0" w:after="0"/>
              <w:rPr>
                <w:spacing w:val="-1"/>
                <w:lang w:val="en-GB"/>
              </w:rPr>
            </w:pPr>
          </w:p>
        </w:tc>
        <w:tc>
          <w:tcPr>
            <w:tcW w:w="1230" w:type="dxa"/>
            <w:tcMar>
              <w:top w:w="57" w:type="dxa"/>
              <w:left w:w="57" w:type="dxa"/>
              <w:bottom w:w="57" w:type="dxa"/>
              <w:right w:w="57" w:type="dxa"/>
            </w:tcMar>
            <w:vAlign w:val="center"/>
          </w:tcPr>
          <w:p w14:paraId="4AA8AB9F" w14:textId="77777777" w:rsidR="00B6028F" w:rsidRPr="0014154D" w:rsidRDefault="00B6028F" w:rsidP="00B6028F">
            <w:pPr>
              <w:pStyle w:val="Tablicadanerodek"/>
              <w:spacing w:before="0" w:after="0"/>
              <w:rPr>
                <w:spacing w:val="-1"/>
                <w:lang w:val="en-GB"/>
              </w:rPr>
            </w:pPr>
          </w:p>
        </w:tc>
      </w:tr>
      <w:tr w:rsidR="00B6028F" w:rsidRPr="0014154D" w14:paraId="167D979B" w14:textId="77777777" w:rsidTr="0025325D">
        <w:tblPrEx>
          <w:tblCellMar>
            <w:left w:w="68" w:type="dxa"/>
            <w:right w:w="68" w:type="dxa"/>
          </w:tblCellMar>
        </w:tblPrEx>
        <w:trPr>
          <w:trHeight w:val="301"/>
          <w:tblHeader/>
        </w:trPr>
        <w:tc>
          <w:tcPr>
            <w:tcW w:w="3969" w:type="dxa"/>
            <w:vAlign w:val="bottom"/>
          </w:tcPr>
          <w:p w14:paraId="22B2630B" w14:textId="77777777" w:rsidR="00B6028F" w:rsidRPr="0014154D" w:rsidRDefault="00B6028F" w:rsidP="00B6028F">
            <w:pPr>
              <w:pStyle w:val="Tablicaboczek"/>
              <w:spacing w:before="0" w:after="0"/>
              <w:ind w:left="879" w:hanging="170"/>
              <w:rPr>
                <w:lang w:val="en-GB"/>
              </w:rPr>
            </w:pPr>
            <w:r w:rsidRPr="0014154D">
              <w:rPr>
                <w:lang w:val="en-GB"/>
              </w:rPr>
              <w:t>performing arts activities</w:t>
            </w:r>
          </w:p>
        </w:tc>
        <w:tc>
          <w:tcPr>
            <w:tcW w:w="1229" w:type="dxa"/>
            <w:tcMar>
              <w:top w:w="57" w:type="dxa"/>
              <w:left w:w="57" w:type="dxa"/>
              <w:bottom w:w="57" w:type="dxa"/>
              <w:right w:w="57" w:type="dxa"/>
            </w:tcMar>
            <w:vAlign w:val="bottom"/>
          </w:tcPr>
          <w:p w14:paraId="308E56FE" w14:textId="35186F2F" w:rsidR="00B6028F" w:rsidRPr="0014154D" w:rsidRDefault="00B6028F" w:rsidP="00B6028F">
            <w:pPr>
              <w:pStyle w:val="Tablicadanerodek"/>
              <w:spacing w:before="0" w:after="0"/>
              <w:rPr>
                <w:lang w:val="en-GB"/>
              </w:rPr>
            </w:pPr>
            <w:r w:rsidRPr="0014154D">
              <w:rPr>
                <w:lang w:val="en-GB" w:eastAsia="en-US"/>
              </w:rPr>
              <w:t>152</w:t>
            </w:r>
          </w:p>
        </w:tc>
        <w:tc>
          <w:tcPr>
            <w:tcW w:w="1230" w:type="dxa"/>
            <w:tcMar>
              <w:top w:w="57" w:type="dxa"/>
              <w:left w:w="57" w:type="dxa"/>
              <w:bottom w:w="57" w:type="dxa"/>
              <w:right w:w="57" w:type="dxa"/>
            </w:tcMar>
            <w:vAlign w:val="bottom"/>
          </w:tcPr>
          <w:p w14:paraId="5FAC1860" w14:textId="25E42AD9" w:rsidR="00B6028F" w:rsidRPr="0014154D" w:rsidRDefault="0025019A" w:rsidP="00B6028F">
            <w:pPr>
              <w:pStyle w:val="Tablicadanerodek"/>
              <w:spacing w:before="0" w:after="0"/>
              <w:rPr>
                <w:lang w:val="en-GB"/>
              </w:rPr>
            </w:pPr>
            <w:r w:rsidRPr="0014154D">
              <w:rPr>
                <w:lang w:val="en-GB" w:eastAsia="en-US"/>
              </w:rPr>
              <w:t>735.</w:t>
            </w:r>
            <w:r w:rsidR="00B6028F" w:rsidRPr="0014154D">
              <w:rPr>
                <w:lang w:val="en-GB" w:eastAsia="en-US"/>
              </w:rPr>
              <w:t>8</w:t>
            </w:r>
          </w:p>
        </w:tc>
        <w:tc>
          <w:tcPr>
            <w:tcW w:w="1230" w:type="dxa"/>
            <w:tcMar>
              <w:top w:w="57" w:type="dxa"/>
              <w:left w:w="57" w:type="dxa"/>
              <w:bottom w:w="57" w:type="dxa"/>
              <w:right w:w="57" w:type="dxa"/>
            </w:tcMar>
            <w:vAlign w:val="bottom"/>
          </w:tcPr>
          <w:p w14:paraId="68300D5D" w14:textId="2F0A4B99" w:rsidR="00B6028F" w:rsidRPr="0014154D" w:rsidRDefault="0025019A" w:rsidP="00B6028F">
            <w:pPr>
              <w:pStyle w:val="Tablicadanerodek"/>
              <w:spacing w:before="0" w:after="0"/>
              <w:rPr>
                <w:spacing w:val="1"/>
                <w:lang w:val="en-GB"/>
              </w:rPr>
            </w:pPr>
            <w:r w:rsidRPr="0014154D">
              <w:rPr>
                <w:lang w:val="en-GB" w:eastAsia="en-US"/>
              </w:rPr>
              <w:t>701.</w:t>
            </w:r>
            <w:r w:rsidR="00B6028F" w:rsidRPr="0014154D">
              <w:rPr>
                <w:lang w:val="en-GB" w:eastAsia="en-US"/>
              </w:rPr>
              <w:t>2</w:t>
            </w:r>
          </w:p>
        </w:tc>
      </w:tr>
      <w:tr w:rsidR="00B6028F" w:rsidRPr="0014154D" w14:paraId="625AFAD2" w14:textId="77777777" w:rsidTr="0025325D">
        <w:tblPrEx>
          <w:tblCellMar>
            <w:left w:w="68" w:type="dxa"/>
            <w:right w:w="68" w:type="dxa"/>
          </w:tblCellMar>
        </w:tblPrEx>
        <w:trPr>
          <w:trHeight w:val="301"/>
          <w:tblHeader/>
        </w:trPr>
        <w:tc>
          <w:tcPr>
            <w:tcW w:w="3969" w:type="dxa"/>
            <w:vAlign w:val="center"/>
          </w:tcPr>
          <w:p w14:paraId="6B2DE195" w14:textId="77777777" w:rsidR="00B6028F" w:rsidRPr="0014154D" w:rsidRDefault="00B6028F" w:rsidP="00B6028F">
            <w:pPr>
              <w:pStyle w:val="Tablicaboczek"/>
              <w:spacing w:before="0" w:after="0"/>
              <w:ind w:left="879" w:hanging="170"/>
              <w:rPr>
                <w:lang w:val="en-GB"/>
              </w:rPr>
            </w:pPr>
            <w:r w:rsidRPr="0014154D">
              <w:rPr>
                <w:rFonts w:cs="Fira Sans"/>
                <w:spacing w:val="-1"/>
                <w:lang w:val="en-GB"/>
              </w:rPr>
              <w:t>operation of arts facilities</w:t>
            </w:r>
          </w:p>
        </w:tc>
        <w:tc>
          <w:tcPr>
            <w:tcW w:w="1229" w:type="dxa"/>
            <w:tcMar>
              <w:top w:w="57" w:type="dxa"/>
              <w:left w:w="57" w:type="dxa"/>
              <w:bottom w:w="57" w:type="dxa"/>
              <w:right w:w="57" w:type="dxa"/>
            </w:tcMar>
            <w:vAlign w:val="center"/>
          </w:tcPr>
          <w:p w14:paraId="5A340DE2" w14:textId="08DFF8CE" w:rsidR="00B6028F" w:rsidRPr="0014154D" w:rsidRDefault="0025019A" w:rsidP="00B6028F">
            <w:pPr>
              <w:pStyle w:val="Tablicadanerodek"/>
              <w:spacing w:before="0" w:after="0"/>
              <w:rPr>
                <w:lang w:val="en-GB"/>
              </w:rPr>
            </w:pPr>
            <w:r w:rsidRPr="0014154D">
              <w:rPr>
                <w:lang w:val="en-GB" w:eastAsia="en-US"/>
              </w:rPr>
              <w:t>2,</w:t>
            </w:r>
            <w:r w:rsidR="00B6028F" w:rsidRPr="0014154D">
              <w:rPr>
                <w:lang w:val="en-GB" w:eastAsia="en-US"/>
              </w:rPr>
              <w:t>170</w:t>
            </w:r>
          </w:p>
        </w:tc>
        <w:tc>
          <w:tcPr>
            <w:tcW w:w="1230" w:type="dxa"/>
            <w:tcMar>
              <w:top w:w="57" w:type="dxa"/>
              <w:left w:w="57" w:type="dxa"/>
              <w:bottom w:w="57" w:type="dxa"/>
              <w:right w:w="57" w:type="dxa"/>
            </w:tcMar>
            <w:vAlign w:val="center"/>
          </w:tcPr>
          <w:p w14:paraId="1A058194" w14:textId="054F46AD" w:rsidR="00B6028F" w:rsidRPr="0014154D" w:rsidRDefault="0025019A" w:rsidP="00B6028F">
            <w:pPr>
              <w:pStyle w:val="Tablicadanerodek"/>
              <w:spacing w:before="0" w:after="0"/>
              <w:rPr>
                <w:lang w:val="en-GB"/>
              </w:rPr>
            </w:pPr>
            <w:r w:rsidRPr="0014154D">
              <w:rPr>
                <w:lang w:val="en-GB" w:eastAsia="en-US"/>
              </w:rPr>
              <w:t>1,568.</w:t>
            </w:r>
            <w:r w:rsidR="00B6028F" w:rsidRPr="0014154D">
              <w:rPr>
                <w:lang w:val="en-GB" w:eastAsia="en-US"/>
              </w:rPr>
              <w:t>2</w:t>
            </w:r>
          </w:p>
        </w:tc>
        <w:tc>
          <w:tcPr>
            <w:tcW w:w="1230" w:type="dxa"/>
            <w:tcMar>
              <w:top w:w="57" w:type="dxa"/>
              <w:left w:w="57" w:type="dxa"/>
              <w:bottom w:w="57" w:type="dxa"/>
              <w:right w:w="57" w:type="dxa"/>
            </w:tcMar>
            <w:vAlign w:val="center"/>
          </w:tcPr>
          <w:p w14:paraId="6048C283" w14:textId="6A8A709D" w:rsidR="00B6028F" w:rsidRPr="0014154D" w:rsidRDefault="0025019A" w:rsidP="00B6028F">
            <w:pPr>
              <w:pStyle w:val="Tablicadanerodek"/>
              <w:spacing w:before="0" w:after="0"/>
              <w:rPr>
                <w:lang w:val="en-GB"/>
              </w:rPr>
            </w:pPr>
            <w:r w:rsidRPr="0014154D">
              <w:rPr>
                <w:lang w:val="en-GB" w:eastAsia="en-US"/>
              </w:rPr>
              <w:t>1,372.</w:t>
            </w:r>
            <w:r w:rsidR="00B6028F" w:rsidRPr="0014154D">
              <w:rPr>
                <w:lang w:val="en-GB" w:eastAsia="en-US"/>
              </w:rPr>
              <w:t>5</w:t>
            </w:r>
          </w:p>
        </w:tc>
      </w:tr>
      <w:tr w:rsidR="00B6028F" w:rsidRPr="0014154D" w14:paraId="5354C51A" w14:textId="77777777" w:rsidTr="0025325D">
        <w:tblPrEx>
          <w:tblCellMar>
            <w:left w:w="68" w:type="dxa"/>
            <w:right w:w="68" w:type="dxa"/>
          </w:tblCellMar>
        </w:tblPrEx>
        <w:trPr>
          <w:trHeight w:val="301"/>
          <w:tblHeader/>
        </w:trPr>
        <w:tc>
          <w:tcPr>
            <w:tcW w:w="3969" w:type="dxa"/>
            <w:vAlign w:val="bottom"/>
          </w:tcPr>
          <w:p w14:paraId="57554552" w14:textId="77777777" w:rsidR="00B6028F" w:rsidRPr="0014154D" w:rsidRDefault="00B6028F" w:rsidP="00B6028F">
            <w:pPr>
              <w:pStyle w:val="Tablicaboczek"/>
              <w:spacing w:before="0" w:after="0"/>
              <w:ind w:left="454" w:hanging="170"/>
              <w:rPr>
                <w:lang w:val="en-GB"/>
              </w:rPr>
            </w:pPr>
            <w:r w:rsidRPr="0014154D">
              <w:rPr>
                <w:lang w:val="en-GB"/>
              </w:rPr>
              <w:t>libraries, archives, museums and other cultural activities</w:t>
            </w:r>
          </w:p>
        </w:tc>
        <w:tc>
          <w:tcPr>
            <w:tcW w:w="1229" w:type="dxa"/>
            <w:tcMar>
              <w:top w:w="57" w:type="dxa"/>
              <w:left w:w="57" w:type="dxa"/>
              <w:bottom w:w="57" w:type="dxa"/>
              <w:right w:w="57" w:type="dxa"/>
            </w:tcMar>
            <w:vAlign w:val="bottom"/>
          </w:tcPr>
          <w:p w14:paraId="7D513E5E" w14:textId="22C4EF34" w:rsidR="00B6028F" w:rsidRPr="0014154D" w:rsidRDefault="0025019A" w:rsidP="00B6028F">
            <w:pPr>
              <w:pStyle w:val="Tablicadanerodek"/>
              <w:spacing w:before="0" w:after="0"/>
              <w:rPr>
                <w:lang w:val="en-GB"/>
              </w:rPr>
            </w:pPr>
            <w:r w:rsidRPr="0014154D">
              <w:rPr>
                <w:lang w:val="en-GB" w:eastAsia="en-US"/>
              </w:rPr>
              <w:t>2,</w:t>
            </w:r>
            <w:r w:rsidR="00B6028F" w:rsidRPr="0014154D">
              <w:rPr>
                <w:lang w:val="en-GB" w:eastAsia="en-US"/>
              </w:rPr>
              <w:t>365</w:t>
            </w:r>
          </w:p>
        </w:tc>
        <w:tc>
          <w:tcPr>
            <w:tcW w:w="1230" w:type="dxa"/>
            <w:tcMar>
              <w:top w:w="57" w:type="dxa"/>
              <w:left w:w="57" w:type="dxa"/>
              <w:bottom w:w="57" w:type="dxa"/>
              <w:right w:w="57" w:type="dxa"/>
            </w:tcMar>
            <w:vAlign w:val="bottom"/>
          </w:tcPr>
          <w:p w14:paraId="30D28559" w14:textId="1C87A7D5" w:rsidR="00B6028F" w:rsidRPr="0014154D" w:rsidRDefault="0025019A" w:rsidP="00B6028F">
            <w:pPr>
              <w:pStyle w:val="Tablicadanerodek"/>
              <w:spacing w:before="0" w:after="0"/>
              <w:rPr>
                <w:lang w:val="en-GB"/>
              </w:rPr>
            </w:pPr>
            <w:r w:rsidRPr="0014154D">
              <w:rPr>
                <w:lang w:val="en-GB" w:eastAsia="en-US"/>
              </w:rPr>
              <w:t>1,419.</w:t>
            </w:r>
            <w:r w:rsidR="00B6028F" w:rsidRPr="0014154D">
              <w:rPr>
                <w:lang w:val="en-GB" w:eastAsia="en-US"/>
              </w:rPr>
              <w:t>7</w:t>
            </w:r>
          </w:p>
        </w:tc>
        <w:tc>
          <w:tcPr>
            <w:tcW w:w="1230" w:type="dxa"/>
            <w:tcMar>
              <w:top w:w="57" w:type="dxa"/>
              <w:left w:w="57" w:type="dxa"/>
              <w:bottom w:w="57" w:type="dxa"/>
              <w:right w:w="57" w:type="dxa"/>
            </w:tcMar>
            <w:vAlign w:val="bottom"/>
          </w:tcPr>
          <w:p w14:paraId="17528213" w14:textId="54725906" w:rsidR="00B6028F" w:rsidRPr="0014154D" w:rsidRDefault="0025019A" w:rsidP="00B6028F">
            <w:pPr>
              <w:pStyle w:val="Tablicadanerodek"/>
              <w:spacing w:before="0" w:after="0"/>
              <w:rPr>
                <w:lang w:val="en-GB"/>
              </w:rPr>
            </w:pPr>
            <w:r w:rsidRPr="0014154D">
              <w:rPr>
                <w:lang w:val="en-GB" w:eastAsia="en-US"/>
              </w:rPr>
              <w:t>1,307.</w:t>
            </w:r>
            <w:r w:rsidR="00B6028F" w:rsidRPr="0014154D">
              <w:rPr>
                <w:lang w:val="en-GB" w:eastAsia="en-US"/>
              </w:rPr>
              <w:t>0</w:t>
            </w:r>
          </w:p>
        </w:tc>
      </w:tr>
      <w:tr w:rsidR="00B6028F" w:rsidRPr="0014154D" w14:paraId="6CAD4744" w14:textId="77777777" w:rsidTr="0025325D">
        <w:tblPrEx>
          <w:tblCellMar>
            <w:left w:w="68" w:type="dxa"/>
            <w:right w:w="68" w:type="dxa"/>
          </w:tblCellMar>
        </w:tblPrEx>
        <w:trPr>
          <w:trHeight w:val="301"/>
          <w:tblHeader/>
        </w:trPr>
        <w:tc>
          <w:tcPr>
            <w:tcW w:w="3969" w:type="dxa"/>
            <w:vAlign w:val="center"/>
          </w:tcPr>
          <w:p w14:paraId="761A6B1B" w14:textId="77777777" w:rsidR="00B6028F" w:rsidRPr="0014154D" w:rsidRDefault="00B6028F" w:rsidP="00B6028F">
            <w:pPr>
              <w:pStyle w:val="Tablicaboczek"/>
              <w:spacing w:before="0" w:after="0"/>
              <w:ind w:left="567"/>
              <w:rPr>
                <w:lang w:val="en-GB"/>
              </w:rPr>
            </w:pPr>
            <w:r w:rsidRPr="0014154D">
              <w:rPr>
                <w:rFonts w:cs="Fira Sans"/>
                <w:spacing w:val="-1"/>
                <w:lang w:val="en-GB"/>
              </w:rPr>
              <w:t>of which:</w:t>
            </w:r>
          </w:p>
        </w:tc>
        <w:tc>
          <w:tcPr>
            <w:tcW w:w="1229" w:type="dxa"/>
            <w:tcMar>
              <w:top w:w="57" w:type="dxa"/>
              <w:left w:w="57" w:type="dxa"/>
              <w:bottom w:w="57" w:type="dxa"/>
              <w:right w:w="57" w:type="dxa"/>
            </w:tcMar>
            <w:vAlign w:val="center"/>
          </w:tcPr>
          <w:p w14:paraId="6E8BE3E4" w14:textId="77777777" w:rsidR="00B6028F" w:rsidRPr="0014154D" w:rsidRDefault="00B6028F" w:rsidP="00B6028F">
            <w:pPr>
              <w:pStyle w:val="Tablicadanerodek"/>
              <w:spacing w:before="0" w:after="0"/>
              <w:rPr>
                <w:lang w:val="en-GB"/>
              </w:rPr>
            </w:pPr>
          </w:p>
        </w:tc>
        <w:tc>
          <w:tcPr>
            <w:tcW w:w="1230" w:type="dxa"/>
            <w:tcMar>
              <w:top w:w="57" w:type="dxa"/>
              <w:left w:w="57" w:type="dxa"/>
              <w:bottom w:w="57" w:type="dxa"/>
              <w:right w:w="57" w:type="dxa"/>
            </w:tcMar>
            <w:vAlign w:val="center"/>
          </w:tcPr>
          <w:p w14:paraId="07B2900D" w14:textId="77777777" w:rsidR="00B6028F" w:rsidRPr="0014154D" w:rsidRDefault="00B6028F" w:rsidP="00B6028F">
            <w:pPr>
              <w:pStyle w:val="Tablicadanerodek"/>
              <w:spacing w:before="0" w:after="0"/>
              <w:rPr>
                <w:lang w:val="en-GB"/>
              </w:rPr>
            </w:pPr>
          </w:p>
        </w:tc>
        <w:tc>
          <w:tcPr>
            <w:tcW w:w="1230" w:type="dxa"/>
            <w:tcMar>
              <w:top w:w="57" w:type="dxa"/>
              <w:left w:w="57" w:type="dxa"/>
              <w:bottom w:w="57" w:type="dxa"/>
              <w:right w:w="57" w:type="dxa"/>
            </w:tcMar>
            <w:vAlign w:val="center"/>
          </w:tcPr>
          <w:p w14:paraId="684CFDB0" w14:textId="77777777" w:rsidR="00B6028F" w:rsidRPr="0014154D" w:rsidRDefault="00B6028F" w:rsidP="00B6028F">
            <w:pPr>
              <w:pStyle w:val="Tablicadanerodek"/>
              <w:spacing w:before="0" w:after="0"/>
              <w:rPr>
                <w:lang w:val="en-GB"/>
              </w:rPr>
            </w:pPr>
          </w:p>
        </w:tc>
      </w:tr>
      <w:tr w:rsidR="00B6028F" w:rsidRPr="0014154D" w14:paraId="0746E2F4" w14:textId="77777777" w:rsidTr="0025325D">
        <w:tblPrEx>
          <w:tblCellMar>
            <w:left w:w="68" w:type="dxa"/>
            <w:right w:w="68" w:type="dxa"/>
          </w:tblCellMar>
        </w:tblPrEx>
        <w:trPr>
          <w:trHeight w:val="301"/>
          <w:tblHeader/>
        </w:trPr>
        <w:tc>
          <w:tcPr>
            <w:tcW w:w="3969" w:type="dxa"/>
            <w:vAlign w:val="center"/>
          </w:tcPr>
          <w:p w14:paraId="4E93DEFC" w14:textId="77777777" w:rsidR="00B6028F" w:rsidRPr="0014154D" w:rsidRDefault="00B6028F" w:rsidP="00B6028F">
            <w:pPr>
              <w:pStyle w:val="Tablicaboczek"/>
              <w:spacing w:before="0" w:after="0"/>
              <w:ind w:left="879" w:hanging="170"/>
              <w:rPr>
                <w:rFonts w:cs="Fira Sans"/>
                <w:spacing w:val="-1"/>
                <w:lang w:val="en-GB"/>
              </w:rPr>
            </w:pPr>
            <w:r w:rsidRPr="0014154D">
              <w:rPr>
                <w:rFonts w:cs="Fira Sans"/>
                <w:spacing w:val="-1"/>
                <w:lang w:val="en-GB"/>
              </w:rPr>
              <w:t>libraries and archives activities</w:t>
            </w:r>
          </w:p>
        </w:tc>
        <w:tc>
          <w:tcPr>
            <w:tcW w:w="1229" w:type="dxa"/>
            <w:tcMar>
              <w:top w:w="57" w:type="dxa"/>
              <w:left w:w="57" w:type="dxa"/>
              <w:bottom w:w="57" w:type="dxa"/>
              <w:right w:w="57" w:type="dxa"/>
            </w:tcMar>
            <w:vAlign w:val="center"/>
          </w:tcPr>
          <w:p w14:paraId="19DE36F3" w14:textId="67561154" w:rsidR="00B6028F" w:rsidRPr="0014154D" w:rsidRDefault="0025019A" w:rsidP="00B6028F">
            <w:pPr>
              <w:pStyle w:val="Tablicadanerodek"/>
              <w:spacing w:before="0" w:after="0"/>
              <w:rPr>
                <w:lang w:val="en-GB"/>
              </w:rPr>
            </w:pPr>
            <w:r w:rsidRPr="0014154D">
              <w:rPr>
                <w:lang w:val="en-GB" w:eastAsia="en-US"/>
              </w:rPr>
              <w:t>1,</w:t>
            </w:r>
            <w:r w:rsidR="00B6028F" w:rsidRPr="0014154D">
              <w:rPr>
                <w:lang w:val="en-GB" w:eastAsia="en-US"/>
              </w:rPr>
              <w:t>965</w:t>
            </w:r>
          </w:p>
        </w:tc>
        <w:tc>
          <w:tcPr>
            <w:tcW w:w="1230" w:type="dxa"/>
            <w:tcMar>
              <w:top w:w="57" w:type="dxa"/>
              <w:left w:w="57" w:type="dxa"/>
              <w:bottom w:w="57" w:type="dxa"/>
              <w:right w:w="57" w:type="dxa"/>
            </w:tcMar>
            <w:vAlign w:val="center"/>
          </w:tcPr>
          <w:p w14:paraId="7CEED41A" w14:textId="420EBE64" w:rsidR="00B6028F" w:rsidRPr="0014154D" w:rsidRDefault="0025019A" w:rsidP="00B6028F">
            <w:pPr>
              <w:pStyle w:val="Tablicadanerodek"/>
              <w:spacing w:before="0" w:after="0"/>
              <w:rPr>
                <w:lang w:val="en-GB"/>
              </w:rPr>
            </w:pPr>
            <w:r w:rsidRPr="0014154D">
              <w:rPr>
                <w:lang w:val="en-GB" w:eastAsia="en-US"/>
              </w:rPr>
              <w:t>642.</w:t>
            </w:r>
            <w:r w:rsidR="00B6028F" w:rsidRPr="0014154D">
              <w:rPr>
                <w:lang w:val="en-GB" w:eastAsia="en-US"/>
              </w:rPr>
              <w:t>8</w:t>
            </w:r>
          </w:p>
        </w:tc>
        <w:tc>
          <w:tcPr>
            <w:tcW w:w="1230" w:type="dxa"/>
            <w:tcMar>
              <w:top w:w="57" w:type="dxa"/>
              <w:left w:w="57" w:type="dxa"/>
              <w:bottom w:w="57" w:type="dxa"/>
              <w:right w:w="57" w:type="dxa"/>
            </w:tcMar>
            <w:vAlign w:val="center"/>
          </w:tcPr>
          <w:p w14:paraId="714BE2C0" w14:textId="13909A82" w:rsidR="00B6028F" w:rsidRPr="0014154D" w:rsidRDefault="0025019A" w:rsidP="00B6028F">
            <w:pPr>
              <w:pStyle w:val="Tablicadanerodek"/>
              <w:spacing w:before="0" w:after="0"/>
              <w:rPr>
                <w:spacing w:val="1"/>
                <w:lang w:val="en-GB"/>
              </w:rPr>
            </w:pPr>
            <w:r w:rsidRPr="0014154D">
              <w:rPr>
                <w:lang w:val="en-GB" w:eastAsia="en-US"/>
              </w:rPr>
              <w:t>587.</w:t>
            </w:r>
            <w:r w:rsidR="00B6028F" w:rsidRPr="0014154D">
              <w:rPr>
                <w:lang w:val="en-GB" w:eastAsia="en-US"/>
              </w:rPr>
              <w:t>8</w:t>
            </w:r>
          </w:p>
        </w:tc>
      </w:tr>
      <w:tr w:rsidR="00B6028F" w:rsidRPr="0014154D" w14:paraId="28E6A565" w14:textId="77777777" w:rsidTr="0025325D">
        <w:tblPrEx>
          <w:tblCellMar>
            <w:left w:w="68" w:type="dxa"/>
            <w:right w:w="68" w:type="dxa"/>
          </w:tblCellMar>
        </w:tblPrEx>
        <w:trPr>
          <w:trHeight w:val="301"/>
          <w:tblHeader/>
        </w:trPr>
        <w:tc>
          <w:tcPr>
            <w:tcW w:w="3969" w:type="dxa"/>
            <w:vAlign w:val="center"/>
          </w:tcPr>
          <w:p w14:paraId="457D6037" w14:textId="77777777" w:rsidR="00B6028F" w:rsidRPr="0014154D" w:rsidRDefault="00B6028F" w:rsidP="00B6028F">
            <w:pPr>
              <w:pStyle w:val="Tablicaboczek"/>
              <w:spacing w:before="0" w:after="0"/>
              <w:ind w:left="879" w:hanging="170"/>
              <w:rPr>
                <w:rFonts w:cs="Fira Sans"/>
                <w:spacing w:val="-1"/>
                <w:lang w:val="en-GB"/>
              </w:rPr>
            </w:pPr>
            <w:r w:rsidRPr="0014154D">
              <w:rPr>
                <w:rFonts w:cs="Fira Sans"/>
                <w:spacing w:val="-1"/>
                <w:lang w:val="en-GB"/>
              </w:rPr>
              <w:t>museums activities</w:t>
            </w:r>
          </w:p>
        </w:tc>
        <w:tc>
          <w:tcPr>
            <w:tcW w:w="1229" w:type="dxa"/>
            <w:tcMar>
              <w:top w:w="57" w:type="dxa"/>
              <w:left w:w="57" w:type="dxa"/>
              <w:bottom w:w="57" w:type="dxa"/>
              <w:right w:w="57" w:type="dxa"/>
            </w:tcMar>
            <w:vAlign w:val="center"/>
          </w:tcPr>
          <w:p w14:paraId="75E0F2F2" w14:textId="1919EE31" w:rsidR="00B6028F" w:rsidRPr="0014154D" w:rsidRDefault="00B6028F" w:rsidP="00B6028F">
            <w:pPr>
              <w:pStyle w:val="Tablicadanerodek"/>
              <w:spacing w:before="0" w:after="0"/>
              <w:rPr>
                <w:lang w:val="en-GB"/>
              </w:rPr>
            </w:pPr>
            <w:r w:rsidRPr="0014154D">
              <w:rPr>
                <w:lang w:val="en-GB" w:eastAsia="en-US"/>
              </w:rPr>
              <w:t>392</w:t>
            </w:r>
          </w:p>
        </w:tc>
        <w:tc>
          <w:tcPr>
            <w:tcW w:w="1230" w:type="dxa"/>
            <w:tcMar>
              <w:top w:w="57" w:type="dxa"/>
              <w:left w:w="57" w:type="dxa"/>
              <w:bottom w:w="57" w:type="dxa"/>
              <w:right w:w="57" w:type="dxa"/>
            </w:tcMar>
            <w:vAlign w:val="center"/>
          </w:tcPr>
          <w:p w14:paraId="51D52D5E" w14:textId="1554CBBF" w:rsidR="00B6028F" w:rsidRPr="0014154D" w:rsidRDefault="0025019A" w:rsidP="00B6028F">
            <w:pPr>
              <w:pStyle w:val="Tablicadanerodek"/>
              <w:spacing w:before="0" w:after="0"/>
              <w:rPr>
                <w:lang w:val="en-GB"/>
              </w:rPr>
            </w:pPr>
            <w:r w:rsidRPr="0014154D">
              <w:rPr>
                <w:lang w:val="en-GB" w:eastAsia="en-US"/>
              </w:rPr>
              <w:t>755.</w:t>
            </w:r>
            <w:r w:rsidR="00B6028F" w:rsidRPr="0014154D">
              <w:rPr>
                <w:lang w:val="en-GB" w:eastAsia="en-US"/>
              </w:rPr>
              <w:t>0</w:t>
            </w:r>
          </w:p>
        </w:tc>
        <w:tc>
          <w:tcPr>
            <w:tcW w:w="1230" w:type="dxa"/>
            <w:tcMar>
              <w:top w:w="57" w:type="dxa"/>
              <w:left w:w="57" w:type="dxa"/>
              <w:bottom w:w="57" w:type="dxa"/>
              <w:right w:w="57" w:type="dxa"/>
            </w:tcMar>
            <w:vAlign w:val="center"/>
          </w:tcPr>
          <w:p w14:paraId="7A3A47EF" w14:textId="0B66FA02" w:rsidR="00B6028F" w:rsidRPr="0014154D" w:rsidRDefault="00B6028F" w:rsidP="00B6028F">
            <w:pPr>
              <w:pStyle w:val="Tablicadanerodek"/>
              <w:spacing w:before="0" w:after="0"/>
              <w:rPr>
                <w:lang w:val="en-GB"/>
              </w:rPr>
            </w:pPr>
            <w:r w:rsidRPr="0014154D">
              <w:rPr>
                <w:lang w:val="en-GB" w:eastAsia="en-US"/>
              </w:rPr>
              <w:t>700</w:t>
            </w:r>
            <w:r w:rsidR="0025019A" w:rsidRPr="0014154D">
              <w:rPr>
                <w:lang w:val="en-GB" w:eastAsia="en-US"/>
              </w:rPr>
              <w:t>.</w:t>
            </w:r>
            <w:r w:rsidRPr="0014154D">
              <w:rPr>
                <w:lang w:val="en-GB" w:eastAsia="en-US"/>
              </w:rPr>
              <w:t>7</w:t>
            </w:r>
          </w:p>
        </w:tc>
      </w:tr>
    </w:tbl>
    <w:p w14:paraId="3710385F" w14:textId="77777777" w:rsidR="00B6028F" w:rsidRPr="0014154D" w:rsidRDefault="00B6028F" w:rsidP="00B6028F">
      <w:pPr>
        <w:spacing w:before="360" w:after="0" w:line="288" w:lineRule="auto"/>
        <w:rPr>
          <w:lang w:val="en-GB"/>
        </w:rPr>
      </w:pPr>
      <w:r w:rsidRPr="0014154D">
        <w:rPr>
          <w:szCs w:val="19"/>
          <w:lang w:val="en-GB"/>
        </w:rPr>
        <w:t xml:space="preserve">The data presented in this study were prepared on the basis of the form with the symbol </w:t>
      </w:r>
      <w:r w:rsidRPr="0014154D">
        <w:rPr>
          <w:szCs w:val="19"/>
          <w:lang w:val="en-GB"/>
        </w:rPr>
        <w:br/>
        <w:t xml:space="preserve">F-01/dk </w:t>
      </w:r>
      <w:r w:rsidRPr="0014154D">
        <w:rPr>
          <w:i/>
          <w:szCs w:val="19"/>
          <w:lang w:val="en-GB"/>
        </w:rPr>
        <w:t>Quarterly report on the finances of cultural institutions</w:t>
      </w:r>
      <w:r w:rsidRPr="0014154D">
        <w:rPr>
          <w:szCs w:val="19"/>
          <w:lang w:val="en-GB"/>
        </w:rPr>
        <w:t>.</w:t>
      </w:r>
    </w:p>
    <w:p w14:paraId="48110BD0" w14:textId="044F545B" w:rsidR="007762FA" w:rsidRPr="0014154D" w:rsidRDefault="007762FA" w:rsidP="00B6028F">
      <w:pPr>
        <w:spacing w:before="6000" w:after="0" w:line="288" w:lineRule="auto"/>
        <w:rPr>
          <w:lang w:val="en-GB"/>
        </w:rPr>
        <w:sectPr w:rsidR="007762FA" w:rsidRPr="0014154D"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14154D">
        <w:rPr>
          <w:shd w:val="clear" w:color="auto" w:fill="FFFFFF"/>
          <w:lang w:val="en-GB"/>
        </w:rPr>
        <w:t xml:space="preserve">In </w:t>
      </w:r>
      <w:r w:rsidRPr="0014154D">
        <w:rPr>
          <w:spacing w:val="-2"/>
          <w:szCs w:val="19"/>
          <w:lang w:val="en-GB" w:eastAsia="pl-PL"/>
        </w:rPr>
        <w:t>the case of quoting data from the Statistics Poland, please provide information: "Statistics Poland data source", and in the case of publishing calculations made on data published by the Statistics Poland,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6"/>
        <w:gridCol w:w="4927"/>
      </w:tblGrid>
      <w:tr w:rsidR="004B534C" w:rsidRPr="0014154D" w14:paraId="7477BCAD" w14:textId="77777777" w:rsidTr="00D51653">
        <w:trPr>
          <w:cantSplit/>
          <w:trHeight w:val="1626"/>
        </w:trPr>
        <w:tc>
          <w:tcPr>
            <w:tcW w:w="4926" w:type="dxa"/>
          </w:tcPr>
          <w:p w14:paraId="0224CDAB" w14:textId="77777777" w:rsidR="004B534C" w:rsidRPr="0014154D" w:rsidRDefault="004B534C" w:rsidP="004B534C">
            <w:pPr>
              <w:spacing w:before="0" w:after="0" w:line="276" w:lineRule="auto"/>
              <w:rPr>
                <w:rFonts w:cs="Arial"/>
                <w:sz w:val="20"/>
                <w:lang w:val="en-GB"/>
              </w:rPr>
            </w:pPr>
            <w:r w:rsidRPr="0014154D">
              <w:rPr>
                <w:rFonts w:cs="Arial"/>
                <w:sz w:val="20"/>
                <w:lang w:val="en-GB"/>
              </w:rPr>
              <w:lastRenderedPageBreak/>
              <w:t>Prepared by:</w:t>
            </w:r>
          </w:p>
          <w:p w14:paraId="58F2DD01" w14:textId="77777777" w:rsidR="004B534C" w:rsidRPr="0014154D" w:rsidRDefault="004B534C" w:rsidP="004B534C">
            <w:pPr>
              <w:spacing w:before="0" w:line="276" w:lineRule="auto"/>
              <w:rPr>
                <w:b/>
                <w:color w:val="000000" w:themeColor="text1"/>
                <w:sz w:val="20"/>
                <w:szCs w:val="20"/>
                <w:lang w:val="en-GB"/>
              </w:rPr>
            </w:pPr>
            <w:r w:rsidRPr="0014154D">
              <w:rPr>
                <w:b/>
                <w:sz w:val="20"/>
                <w:szCs w:val="20"/>
                <w:lang w:val="en-GB"/>
              </w:rPr>
              <w:t>Statistical Office in Kraków</w:t>
            </w:r>
          </w:p>
          <w:p w14:paraId="78155EEE" w14:textId="77777777" w:rsidR="004B534C" w:rsidRPr="0014154D" w:rsidRDefault="004B534C" w:rsidP="004B534C">
            <w:pPr>
              <w:spacing w:before="0" w:after="0" w:line="276" w:lineRule="auto"/>
              <w:rPr>
                <w:b/>
                <w:sz w:val="20"/>
                <w:szCs w:val="20"/>
                <w:lang w:val="en-GB"/>
              </w:rPr>
            </w:pPr>
            <w:r w:rsidRPr="0014154D">
              <w:rPr>
                <w:b/>
                <w:sz w:val="20"/>
                <w:szCs w:val="20"/>
                <w:lang w:val="en-GB"/>
              </w:rPr>
              <w:t>Director Agnieszka Szlubowska</w:t>
            </w:r>
          </w:p>
          <w:p w14:paraId="336CE0C4" w14:textId="53CB81E6" w:rsidR="004B534C" w:rsidRPr="0014154D" w:rsidRDefault="004B534C" w:rsidP="006E7FC8">
            <w:pPr>
              <w:spacing w:before="0" w:line="276" w:lineRule="auto"/>
              <w:rPr>
                <w:rFonts w:cs="Arial"/>
                <w:color w:val="000000" w:themeColor="text1"/>
                <w:lang w:val="en-GB"/>
              </w:rPr>
            </w:pPr>
            <w:r w:rsidRPr="0014154D">
              <w:rPr>
                <w:lang w:val="en-GB"/>
              </w:rPr>
              <w:t>Phone:</w:t>
            </w:r>
            <w:r w:rsidRPr="0014154D">
              <w:rPr>
                <w:color w:val="000000" w:themeColor="text1"/>
                <w:lang w:val="en-GB"/>
              </w:rPr>
              <w:t xml:space="preserve"> </w:t>
            </w:r>
            <w:hyperlink r:id="rId16" w:tooltip="click to call" w:history="1">
              <w:r w:rsidRPr="0014154D">
                <w:rPr>
                  <w:rStyle w:val="Hipercze"/>
                  <w:color w:val="000000" w:themeColor="text1"/>
                  <w:u w:val="none"/>
                  <w:lang w:val="en-GB"/>
                </w:rPr>
                <w:t>(+48 12) 420 40 50</w:t>
              </w:r>
            </w:hyperlink>
          </w:p>
        </w:tc>
        <w:tc>
          <w:tcPr>
            <w:tcW w:w="4927" w:type="dxa"/>
          </w:tcPr>
          <w:p w14:paraId="108B00BA" w14:textId="77777777" w:rsidR="004B534C" w:rsidRPr="0014154D" w:rsidRDefault="004B534C" w:rsidP="004B534C">
            <w:pPr>
              <w:spacing w:before="0" w:after="0" w:line="276" w:lineRule="auto"/>
              <w:rPr>
                <w:rFonts w:cs="Arial"/>
                <w:sz w:val="20"/>
                <w:szCs w:val="20"/>
                <w:lang w:val="en-GB"/>
              </w:rPr>
            </w:pPr>
            <w:r w:rsidRPr="0014154D">
              <w:rPr>
                <w:rFonts w:cs="Arial"/>
                <w:sz w:val="20"/>
                <w:szCs w:val="20"/>
                <w:lang w:val="en-GB"/>
              </w:rPr>
              <w:t>Issued by:</w:t>
            </w:r>
          </w:p>
          <w:p w14:paraId="3FA78F4D" w14:textId="77777777" w:rsidR="004B534C" w:rsidRPr="0014154D" w:rsidRDefault="004B534C" w:rsidP="004B534C">
            <w:pPr>
              <w:spacing w:before="0"/>
              <w:rPr>
                <w:b/>
                <w:sz w:val="20"/>
                <w:szCs w:val="20"/>
                <w:lang w:val="en-GB"/>
              </w:rPr>
            </w:pPr>
            <w:r w:rsidRPr="0014154D">
              <w:rPr>
                <w:b/>
                <w:sz w:val="20"/>
                <w:szCs w:val="20"/>
                <w:lang w:val="en-GB"/>
              </w:rPr>
              <w:t>Press Office</w:t>
            </w:r>
          </w:p>
          <w:p w14:paraId="1A314B80" w14:textId="77777777" w:rsidR="004B534C" w:rsidRPr="0014154D" w:rsidRDefault="004B534C" w:rsidP="004B534C">
            <w:pPr>
              <w:rPr>
                <w:sz w:val="20"/>
                <w:szCs w:val="20"/>
                <w:lang w:val="en-GB"/>
              </w:rPr>
            </w:pPr>
            <w:r w:rsidRPr="0014154D">
              <w:rPr>
                <w:sz w:val="20"/>
                <w:szCs w:val="20"/>
                <w:lang w:val="en-GB"/>
              </w:rPr>
              <w:t>Mobile: (+48) 695 255 032</w:t>
            </w:r>
          </w:p>
          <w:p w14:paraId="702A2EC3" w14:textId="77777777" w:rsidR="004B534C" w:rsidRPr="0014154D" w:rsidRDefault="004B534C" w:rsidP="004B534C">
            <w:pPr>
              <w:spacing w:after="0"/>
              <w:rPr>
                <w:sz w:val="20"/>
                <w:szCs w:val="20"/>
                <w:lang w:val="en-GB"/>
              </w:rPr>
            </w:pPr>
            <w:r w:rsidRPr="0014154D">
              <w:rPr>
                <w:sz w:val="20"/>
                <w:szCs w:val="20"/>
                <w:lang w:val="en-GB"/>
              </w:rPr>
              <w:t xml:space="preserve">Phone: (+48 22) 608 38 04, (+48 22) 449 41 45, </w:t>
            </w:r>
          </w:p>
          <w:p w14:paraId="1D50D0B3" w14:textId="77777777" w:rsidR="004B534C" w:rsidRPr="0014154D" w:rsidRDefault="004B534C" w:rsidP="004B534C">
            <w:pPr>
              <w:spacing w:before="0"/>
              <w:ind w:left="680"/>
              <w:rPr>
                <w:sz w:val="20"/>
                <w:szCs w:val="20"/>
                <w:lang w:val="en-GB"/>
              </w:rPr>
            </w:pPr>
            <w:r w:rsidRPr="0014154D">
              <w:rPr>
                <w:sz w:val="20"/>
                <w:szCs w:val="20"/>
                <w:lang w:val="en-GB"/>
              </w:rPr>
              <w:t xml:space="preserve">(+48 22) 608 30 09 </w:t>
            </w:r>
          </w:p>
          <w:p w14:paraId="68ED58E2" w14:textId="40631F32" w:rsidR="004B534C" w:rsidRPr="0014154D" w:rsidRDefault="004B534C" w:rsidP="004B534C">
            <w:pPr>
              <w:spacing w:before="0"/>
              <w:rPr>
                <w:b/>
                <w:lang w:val="en-GB"/>
              </w:rPr>
            </w:pPr>
            <w:r w:rsidRPr="0014154D">
              <w:rPr>
                <w:b/>
                <w:sz w:val="20"/>
                <w:szCs w:val="20"/>
                <w:lang w:val="en-GB"/>
              </w:rPr>
              <w:t>e-mail:</w:t>
            </w:r>
            <w:r w:rsidRPr="0014154D">
              <w:rPr>
                <w:sz w:val="20"/>
                <w:szCs w:val="20"/>
                <w:lang w:val="en-GB"/>
              </w:rPr>
              <w:t xml:space="preserve"> </w:t>
            </w:r>
            <w:hyperlink r:id="rId17" w:tooltip="obslugaprasowa@stat.gov.pl" w:history="1">
              <w:r w:rsidRPr="0014154D">
                <w:rPr>
                  <w:rStyle w:val="Hipercze"/>
                  <w:rFonts w:eastAsiaTheme="majorEastAsia" w:cs="Arial"/>
                  <w:b/>
                  <w:color w:val="auto"/>
                  <w:sz w:val="20"/>
                  <w:szCs w:val="20"/>
                  <w:lang w:val="en-GB"/>
                </w:rPr>
                <w:t>obslugaprasowa@stat.gov.pl</w:t>
              </w:r>
            </w:hyperlink>
          </w:p>
        </w:tc>
      </w:tr>
      <w:tr w:rsidR="004B534C" w:rsidRPr="0014154D" w14:paraId="70154136" w14:textId="77777777" w:rsidTr="00D51653">
        <w:trPr>
          <w:cantSplit/>
          <w:trHeight w:val="418"/>
        </w:trPr>
        <w:tc>
          <w:tcPr>
            <w:tcW w:w="4926" w:type="dxa"/>
            <w:vMerge w:val="restart"/>
          </w:tcPr>
          <w:p w14:paraId="1E4835C8" w14:textId="35B09589" w:rsidR="004B534C" w:rsidRPr="0014154D" w:rsidRDefault="004B534C" w:rsidP="004B534C">
            <w:pPr>
              <w:rPr>
                <w:sz w:val="18"/>
                <w:lang w:val="en-GB"/>
              </w:rPr>
            </w:pPr>
          </w:p>
        </w:tc>
        <w:tc>
          <w:tcPr>
            <w:tcW w:w="4927" w:type="dxa"/>
            <w:vAlign w:val="center"/>
          </w:tcPr>
          <w:p w14:paraId="5343EE2E" w14:textId="1898CBA5" w:rsidR="004B534C" w:rsidRPr="0014154D" w:rsidRDefault="004B534C" w:rsidP="004B534C">
            <w:pPr>
              <w:ind w:firstLine="680"/>
              <w:rPr>
                <w:sz w:val="18"/>
                <w:lang w:val="en-GB"/>
              </w:rPr>
            </w:pPr>
            <w:r w:rsidRPr="0014154D">
              <w:rPr>
                <w:noProof/>
                <w:color w:val="000000" w:themeColor="text1"/>
                <w:sz w:val="20"/>
                <w:lang w:val="en-GB" w:eastAsia="pl-PL"/>
              </w:rPr>
              <w:drawing>
                <wp:anchor distT="0" distB="0" distL="114300" distR="114300" simplePos="0" relativeHeight="251866112" behindDoc="0" locked="0" layoutInCell="1" allowOverlap="1" wp14:anchorId="38C92BD2" wp14:editId="18A2D795">
                  <wp:simplePos x="0" y="0"/>
                  <wp:positionH relativeFrom="column">
                    <wp:posOffset>78740</wp:posOffset>
                  </wp:positionH>
                  <wp:positionV relativeFrom="paragraph">
                    <wp:posOffset>21590</wp:posOffset>
                  </wp:positionV>
                  <wp:extent cx="251460" cy="251460"/>
                  <wp:effectExtent l="0" t="0" r="0" b="0"/>
                  <wp:wrapNone/>
                  <wp:docPr id="2" name="Obraz 2"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19" w:tooltip="website SO" w:history="1">
              <w:r w:rsidRPr="0014154D">
                <w:rPr>
                  <w:rStyle w:val="Hipercze"/>
                  <w:color w:val="000000" w:themeColor="text1"/>
                  <w:sz w:val="20"/>
                  <w:u w:val="none"/>
                  <w:lang w:val="en-GB"/>
                </w:rPr>
                <w:t>stat.gov.pl/</w:t>
              </w:r>
              <w:proofErr w:type="spellStart"/>
              <w:r w:rsidRPr="0014154D">
                <w:rPr>
                  <w:rStyle w:val="Hipercze"/>
                  <w:color w:val="000000" w:themeColor="text1"/>
                  <w:sz w:val="20"/>
                  <w:u w:val="none"/>
                  <w:lang w:val="en-GB"/>
                </w:rPr>
                <w:t>en</w:t>
              </w:r>
              <w:proofErr w:type="spellEnd"/>
              <w:r w:rsidRPr="0014154D">
                <w:rPr>
                  <w:rStyle w:val="Hipercze"/>
                  <w:color w:val="000000" w:themeColor="text1"/>
                  <w:sz w:val="20"/>
                  <w:u w:val="none"/>
                  <w:lang w:val="en-GB"/>
                </w:rPr>
                <w:t>/</w:t>
              </w:r>
            </w:hyperlink>
          </w:p>
        </w:tc>
      </w:tr>
      <w:tr w:rsidR="004B534C" w:rsidRPr="0014154D" w14:paraId="31403C92" w14:textId="77777777" w:rsidTr="00D51653">
        <w:trPr>
          <w:cantSplit/>
          <w:trHeight w:val="418"/>
        </w:trPr>
        <w:tc>
          <w:tcPr>
            <w:tcW w:w="4926" w:type="dxa"/>
            <w:vMerge/>
          </w:tcPr>
          <w:p w14:paraId="7A73A109" w14:textId="77777777" w:rsidR="004B534C" w:rsidRPr="0014154D" w:rsidRDefault="004B534C" w:rsidP="004B534C">
            <w:pPr>
              <w:rPr>
                <w:b/>
                <w:sz w:val="20"/>
                <w:lang w:val="en-GB"/>
              </w:rPr>
            </w:pPr>
          </w:p>
        </w:tc>
        <w:tc>
          <w:tcPr>
            <w:tcW w:w="4927" w:type="dxa"/>
            <w:vAlign w:val="center"/>
          </w:tcPr>
          <w:p w14:paraId="40F5D02E" w14:textId="229D3012" w:rsidR="004B534C" w:rsidRPr="0014154D" w:rsidRDefault="004B534C" w:rsidP="004B534C">
            <w:pPr>
              <w:ind w:firstLine="680"/>
              <w:rPr>
                <w:color w:val="000000" w:themeColor="text1"/>
                <w:sz w:val="20"/>
                <w:lang w:val="en-GB"/>
              </w:rPr>
            </w:pPr>
            <w:r w:rsidRPr="0014154D">
              <w:rPr>
                <w:noProof/>
                <w:sz w:val="20"/>
                <w:lang w:val="en-GB" w:eastAsia="pl-PL"/>
              </w:rPr>
              <w:drawing>
                <wp:anchor distT="0" distB="0" distL="114300" distR="114300" simplePos="0" relativeHeight="251867136" behindDoc="0" locked="0" layoutInCell="1" allowOverlap="1" wp14:anchorId="0349E41B" wp14:editId="44C090D0">
                  <wp:simplePos x="0" y="0"/>
                  <wp:positionH relativeFrom="column">
                    <wp:posOffset>80010</wp:posOffset>
                  </wp:positionH>
                  <wp:positionV relativeFrom="paragraph">
                    <wp:posOffset>30480</wp:posOffset>
                  </wp:positionV>
                  <wp:extent cx="251460" cy="251460"/>
                  <wp:effectExtent l="0" t="0" r="0" b="0"/>
                  <wp:wrapNone/>
                  <wp:docPr id="6" name="Obraz 6" descr="x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14154D">
              <w:rPr>
                <w:color w:val="000000" w:themeColor="text1"/>
                <w:lang w:val="en-GB"/>
              </w:rPr>
              <w:t>@</w:t>
            </w:r>
            <w:proofErr w:type="spellStart"/>
            <w:r w:rsidR="007961CA" w:rsidRPr="0014154D">
              <w:rPr>
                <w:rStyle w:val="Hipercze"/>
                <w:color w:val="000000" w:themeColor="text1"/>
                <w:u w:val="none"/>
                <w:lang w:val="en-GB"/>
              </w:rPr>
              <w:fldChar w:fldCharType="begin"/>
            </w:r>
            <w:r w:rsidR="007961CA" w:rsidRPr="0014154D">
              <w:rPr>
                <w:rStyle w:val="Hipercze"/>
                <w:color w:val="000000" w:themeColor="text1"/>
                <w:u w:val="none"/>
                <w:lang w:val="en-GB"/>
              </w:rPr>
              <w:instrText xml:space="preserve"> HYPERLINK "https://twitter.com/StatPoland" \o "twitter" </w:instrText>
            </w:r>
            <w:r w:rsidR="007961CA" w:rsidRPr="0014154D">
              <w:rPr>
                <w:rStyle w:val="Hipercze"/>
                <w:color w:val="000000" w:themeColor="text1"/>
                <w:u w:val="none"/>
                <w:lang w:val="en-GB"/>
              </w:rPr>
              <w:fldChar w:fldCharType="separate"/>
            </w:r>
            <w:r w:rsidRPr="0014154D">
              <w:rPr>
                <w:rStyle w:val="Hipercze"/>
                <w:color w:val="000000" w:themeColor="text1"/>
                <w:u w:val="none"/>
                <w:lang w:val="en-GB"/>
              </w:rPr>
              <w:t>StatPoland</w:t>
            </w:r>
            <w:proofErr w:type="spellEnd"/>
            <w:r w:rsidR="007961CA" w:rsidRPr="0014154D">
              <w:rPr>
                <w:rStyle w:val="Hipercze"/>
                <w:color w:val="000000" w:themeColor="text1"/>
                <w:u w:val="none"/>
                <w:lang w:val="en-GB"/>
              </w:rPr>
              <w:fldChar w:fldCharType="end"/>
            </w:r>
          </w:p>
        </w:tc>
      </w:tr>
      <w:tr w:rsidR="004B534C" w:rsidRPr="0014154D" w14:paraId="4C78BBB1" w14:textId="77777777" w:rsidTr="00D51653">
        <w:trPr>
          <w:cantSplit/>
          <w:trHeight w:val="476"/>
        </w:trPr>
        <w:tc>
          <w:tcPr>
            <w:tcW w:w="4926" w:type="dxa"/>
            <w:vMerge/>
          </w:tcPr>
          <w:p w14:paraId="086067F0" w14:textId="77777777" w:rsidR="004B534C" w:rsidRPr="0014154D" w:rsidRDefault="004B534C" w:rsidP="004B534C">
            <w:pPr>
              <w:rPr>
                <w:b/>
                <w:sz w:val="20"/>
                <w:lang w:val="en-GB"/>
              </w:rPr>
            </w:pPr>
          </w:p>
        </w:tc>
        <w:tc>
          <w:tcPr>
            <w:tcW w:w="4927" w:type="dxa"/>
          </w:tcPr>
          <w:p w14:paraId="75800CD2" w14:textId="172886CE" w:rsidR="004B534C" w:rsidRPr="0014154D" w:rsidRDefault="004B534C" w:rsidP="004B534C">
            <w:pPr>
              <w:ind w:firstLine="680"/>
              <w:rPr>
                <w:sz w:val="18"/>
                <w:lang w:val="en-GB"/>
              </w:rPr>
            </w:pPr>
            <w:r w:rsidRPr="0014154D">
              <w:rPr>
                <w:noProof/>
                <w:color w:val="000000" w:themeColor="text1"/>
                <w:sz w:val="20"/>
                <w:lang w:val="en-GB" w:eastAsia="pl-PL"/>
              </w:rPr>
              <w:drawing>
                <wp:anchor distT="0" distB="0" distL="114300" distR="114300" simplePos="0" relativeHeight="251868160" behindDoc="0" locked="0" layoutInCell="1" allowOverlap="1" wp14:anchorId="08C845A3" wp14:editId="0624258E">
                  <wp:simplePos x="0" y="0"/>
                  <wp:positionH relativeFrom="column">
                    <wp:posOffset>80645</wp:posOffset>
                  </wp:positionH>
                  <wp:positionV relativeFrom="paragraph">
                    <wp:posOffset>39214</wp:posOffset>
                  </wp:positionV>
                  <wp:extent cx="251460" cy="251460"/>
                  <wp:effectExtent l="0" t="0" r="0" b="0"/>
                  <wp:wrapNone/>
                  <wp:docPr id="23" name="Obraz 2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2" w:tooltip="facebook" w:history="1">
              <w:r w:rsidRPr="0014154D">
                <w:rPr>
                  <w:rStyle w:val="Hipercze"/>
                  <w:color w:val="000000" w:themeColor="text1"/>
                  <w:sz w:val="20"/>
                  <w:u w:val="none"/>
                  <w:lang w:val="en-GB"/>
                </w:rPr>
                <w:t>@</w:t>
              </w:r>
              <w:proofErr w:type="spellStart"/>
              <w:r w:rsidRPr="0014154D">
                <w:rPr>
                  <w:rStyle w:val="Hipercze"/>
                  <w:color w:val="000000" w:themeColor="text1"/>
                  <w:sz w:val="20"/>
                  <w:u w:val="none"/>
                  <w:lang w:val="en-GB"/>
                </w:rPr>
                <w:t>GlownyUrzadStatystyczny</w:t>
              </w:r>
              <w:proofErr w:type="spellEnd"/>
            </w:hyperlink>
            <w:r w:rsidRPr="0014154D">
              <w:rPr>
                <w:noProof/>
                <w:color w:val="000000" w:themeColor="text1"/>
                <w:sz w:val="20"/>
                <w:lang w:val="en-GB" w:eastAsia="pl-PL"/>
              </w:rPr>
              <w:t xml:space="preserve"> </w:t>
            </w:r>
          </w:p>
        </w:tc>
      </w:tr>
      <w:tr w:rsidR="004B534C" w:rsidRPr="0014154D" w14:paraId="02BA1EF3" w14:textId="77777777" w:rsidTr="00D51653">
        <w:trPr>
          <w:cantSplit/>
          <w:trHeight w:val="426"/>
        </w:trPr>
        <w:tc>
          <w:tcPr>
            <w:tcW w:w="4926" w:type="dxa"/>
            <w:vMerge/>
          </w:tcPr>
          <w:p w14:paraId="4EC54240" w14:textId="77777777" w:rsidR="004B534C" w:rsidRPr="0014154D" w:rsidRDefault="004B534C" w:rsidP="004B534C">
            <w:pPr>
              <w:rPr>
                <w:b/>
                <w:sz w:val="20"/>
                <w:lang w:val="en-GB"/>
              </w:rPr>
            </w:pPr>
          </w:p>
        </w:tc>
        <w:tc>
          <w:tcPr>
            <w:tcW w:w="4927" w:type="dxa"/>
          </w:tcPr>
          <w:p w14:paraId="008B8000" w14:textId="206F3B90" w:rsidR="004B534C" w:rsidRPr="0014154D" w:rsidRDefault="004B534C" w:rsidP="004B534C">
            <w:pPr>
              <w:ind w:firstLine="680"/>
              <w:rPr>
                <w:noProof/>
                <w:sz w:val="20"/>
                <w:lang w:val="en-GB" w:eastAsia="pl-PL"/>
              </w:rPr>
            </w:pPr>
            <w:r w:rsidRPr="0014154D">
              <w:rPr>
                <w:noProof/>
                <w:color w:val="000000" w:themeColor="text1"/>
                <w:sz w:val="20"/>
                <w:lang w:val="en-GB" w:eastAsia="pl-PL"/>
              </w:rPr>
              <w:drawing>
                <wp:anchor distT="0" distB="0" distL="114300" distR="114300" simplePos="0" relativeHeight="251869184" behindDoc="0" locked="0" layoutInCell="1" allowOverlap="1" wp14:anchorId="664CBB35" wp14:editId="28B6CD6D">
                  <wp:simplePos x="0" y="0"/>
                  <wp:positionH relativeFrom="column">
                    <wp:posOffset>82550</wp:posOffset>
                  </wp:positionH>
                  <wp:positionV relativeFrom="paragraph">
                    <wp:posOffset>37944</wp:posOffset>
                  </wp:positionV>
                  <wp:extent cx="251460" cy="251460"/>
                  <wp:effectExtent l="0" t="0" r="0" b="0"/>
                  <wp:wrapNone/>
                  <wp:docPr id="5" name="Obraz 5"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tooltip="intagram GUS" w:history="1">
              <w:proofErr w:type="spellStart"/>
              <w:r w:rsidRPr="0014154D">
                <w:rPr>
                  <w:rStyle w:val="Hipercze"/>
                  <w:color w:val="000000" w:themeColor="text1"/>
                  <w:sz w:val="20"/>
                  <w:u w:val="none"/>
                  <w:lang w:val="en-GB"/>
                </w:rPr>
                <w:t>gus_stat</w:t>
              </w:r>
              <w:proofErr w:type="spellEnd"/>
            </w:hyperlink>
          </w:p>
        </w:tc>
      </w:tr>
      <w:tr w:rsidR="004B534C" w:rsidRPr="0014154D" w14:paraId="7BA0DA9B" w14:textId="77777777" w:rsidTr="00D51653">
        <w:trPr>
          <w:cantSplit/>
          <w:trHeight w:val="504"/>
        </w:trPr>
        <w:tc>
          <w:tcPr>
            <w:tcW w:w="4926" w:type="dxa"/>
            <w:vMerge/>
          </w:tcPr>
          <w:p w14:paraId="3942046E" w14:textId="77777777" w:rsidR="004B534C" w:rsidRPr="0014154D" w:rsidRDefault="004B534C" w:rsidP="004B534C">
            <w:pPr>
              <w:rPr>
                <w:b/>
                <w:sz w:val="20"/>
                <w:lang w:val="en-GB"/>
              </w:rPr>
            </w:pPr>
          </w:p>
        </w:tc>
        <w:tc>
          <w:tcPr>
            <w:tcW w:w="4927" w:type="dxa"/>
          </w:tcPr>
          <w:p w14:paraId="34B0BF1F" w14:textId="278F1983" w:rsidR="004B534C" w:rsidRPr="0014154D" w:rsidRDefault="004B534C" w:rsidP="004B534C">
            <w:pPr>
              <w:ind w:firstLine="680"/>
              <w:rPr>
                <w:noProof/>
                <w:sz w:val="20"/>
                <w:lang w:val="en-GB" w:eastAsia="pl-PL"/>
              </w:rPr>
            </w:pPr>
            <w:r w:rsidRPr="0014154D">
              <w:rPr>
                <w:noProof/>
                <w:color w:val="000000" w:themeColor="text1"/>
                <w:sz w:val="20"/>
                <w:lang w:val="en-GB" w:eastAsia="pl-PL"/>
              </w:rPr>
              <w:drawing>
                <wp:anchor distT="0" distB="0" distL="114300" distR="114300" simplePos="0" relativeHeight="251870208" behindDoc="0" locked="0" layoutInCell="1" allowOverlap="1" wp14:anchorId="37D27262" wp14:editId="1F7AF17F">
                  <wp:simplePos x="0" y="0"/>
                  <wp:positionH relativeFrom="column">
                    <wp:posOffset>82550</wp:posOffset>
                  </wp:positionH>
                  <wp:positionV relativeFrom="paragraph">
                    <wp:posOffset>47629</wp:posOffset>
                  </wp:positionV>
                  <wp:extent cx="251460" cy="251460"/>
                  <wp:effectExtent l="0" t="0" r="0" b="0"/>
                  <wp:wrapNone/>
                  <wp:docPr id="11" name="Obraz 1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tooltip="youtube GUS" w:history="1">
              <w:proofErr w:type="spellStart"/>
              <w:r w:rsidRPr="0014154D">
                <w:rPr>
                  <w:rStyle w:val="Hipercze"/>
                  <w:color w:val="000000" w:themeColor="text1"/>
                  <w:sz w:val="20"/>
                  <w:u w:val="none"/>
                  <w:lang w:val="en-GB"/>
                </w:rPr>
                <w:t>glownyurzadstatystycznygus</w:t>
              </w:r>
              <w:proofErr w:type="spellEnd"/>
            </w:hyperlink>
          </w:p>
        </w:tc>
      </w:tr>
      <w:tr w:rsidR="004B534C" w:rsidRPr="0014154D" w14:paraId="3A9A6193" w14:textId="77777777" w:rsidTr="00D51653">
        <w:trPr>
          <w:cantSplit/>
          <w:trHeight w:val="1546"/>
        </w:trPr>
        <w:tc>
          <w:tcPr>
            <w:tcW w:w="4926" w:type="dxa"/>
            <w:vMerge/>
          </w:tcPr>
          <w:p w14:paraId="64EF5E0C" w14:textId="77777777" w:rsidR="004B534C" w:rsidRPr="0014154D" w:rsidRDefault="004B534C" w:rsidP="004B534C">
            <w:pPr>
              <w:rPr>
                <w:b/>
                <w:sz w:val="20"/>
                <w:lang w:val="en-GB"/>
              </w:rPr>
            </w:pPr>
          </w:p>
        </w:tc>
        <w:tc>
          <w:tcPr>
            <w:tcW w:w="4927" w:type="dxa"/>
          </w:tcPr>
          <w:p w14:paraId="4DF7E85F" w14:textId="76405C70" w:rsidR="004B534C" w:rsidRPr="0014154D" w:rsidRDefault="0014154D" w:rsidP="004B534C">
            <w:pPr>
              <w:ind w:firstLine="680"/>
              <w:rPr>
                <w:noProof/>
                <w:sz w:val="20"/>
                <w:lang w:val="en-GB" w:eastAsia="pl-PL"/>
              </w:rPr>
            </w:pPr>
            <w:hyperlink r:id="rId27" w:tooltip="linkedin GUS" w:history="1">
              <w:r w:rsidR="004B534C" w:rsidRPr="0014154D">
                <w:rPr>
                  <w:rStyle w:val="Hipercze"/>
                  <w:noProof/>
                  <w:color w:val="000000" w:themeColor="text1"/>
                  <w:sz w:val="20"/>
                  <w:u w:val="none"/>
                  <w:lang w:val="en-GB" w:eastAsia="pl-PL"/>
                </w:rPr>
                <w:t>glownyurzadstatystyczny</w:t>
              </w:r>
              <w:r w:rsidR="004B534C" w:rsidRPr="0014154D">
                <w:rPr>
                  <w:rStyle w:val="Hipercze"/>
                  <w:noProof/>
                  <w:color w:val="000000" w:themeColor="text1"/>
                  <w:sz w:val="20"/>
                  <w:u w:val="none"/>
                  <w:lang w:val="en-GB" w:eastAsia="pl-PL"/>
                </w:rPr>
                <w:drawing>
                  <wp:anchor distT="0" distB="0" distL="114300" distR="114300" simplePos="0" relativeHeight="251871232" behindDoc="0" locked="0" layoutInCell="1" allowOverlap="1" wp14:anchorId="1E271F8A" wp14:editId="5DF1A582">
                    <wp:simplePos x="0" y="0"/>
                    <wp:positionH relativeFrom="column">
                      <wp:posOffset>82550</wp:posOffset>
                    </wp:positionH>
                    <wp:positionV relativeFrom="paragraph">
                      <wp:posOffset>15240</wp:posOffset>
                    </wp:positionV>
                    <wp:extent cx="251460" cy="251460"/>
                    <wp:effectExtent l="0" t="0" r="0" b="0"/>
                    <wp:wrapNone/>
                    <wp:docPr id="7" name="Obraz 7"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p>
        </w:tc>
      </w:tr>
      <w:tr w:rsidR="0077282A" w:rsidRPr="0014154D" w14:paraId="503ADA62" w14:textId="77777777" w:rsidTr="00D51653">
        <w:trPr>
          <w:cantSplit/>
          <w:trHeight w:val="4114"/>
        </w:trPr>
        <w:tc>
          <w:tcPr>
            <w:tcW w:w="9853" w:type="dxa"/>
            <w:gridSpan w:val="2"/>
            <w:shd w:val="clear" w:color="auto" w:fill="D9D9D9" w:themeFill="background1" w:themeFillShade="D9"/>
          </w:tcPr>
          <w:p w14:paraId="33AD5B9E" w14:textId="77777777" w:rsidR="0049500E" w:rsidRPr="0014154D" w:rsidRDefault="0049500E" w:rsidP="0049500E">
            <w:pPr>
              <w:shd w:val="clear" w:color="auto" w:fill="D9D9D9" w:themeFill="background1" w:themeFillShade="D9"/>
              <w:spacing w:before="360"/>
              <w:rPr>
                <w:b/>
                <w:lang w:val="en-GB"/>
              </w:rPr>
            </w:pPr>
            <w:r w:rsidRPr="0014154D">
              <w:rPr>
                <w:b/>
                <w:lang w:val="en-GB"/>
              </w:rPr>
              <w:t>Related information</w:t>
            </w:r>
          </w:p>
          <w:p w14:paraId="1CA09976" w14:textId="48E29431" w:rsidR="0049500E" w:rsidRPr="0014154D" w:rsidRDefault="0014154D" w:rsidP="0049500E">
            <w:pPr>
              <w:rPr>
                <w:rStyle w:val="Hipercze"/>
                <w:lang w:val="en-GB"/>
              </w:rPr>
            </w:pPr>
            <w:hyperlink r:id="rId29" w:tooltip="link to the publication &quot;Financial results of cultural institutions in 2023 – preliminary data&quot;" w:history="1">
              <w:r w:rsidR="0049500E" w:rsidRPr="0014154D">
                <w:rPr>
                  <w:rStyle w:val="Hipercze"/>
                  <w:lang w:val="en-GB"/>
                </w:rPr>
                <w:t>Financial results of cultural institutions in 2023 – preliminary data</w:t>
              </w:r>
            </w:hyperlink>
          </w:p>
          <w:p w14:paraId="582C0E45" w14:textId="3D6CB482" w:rsidR="0049500E" w:rsidRPr="0014154D" w:rsidRDefault="0014154D" w:rsidP="0049500E">
            <w:pPr>
              <w:shd w:val="clear" w:color="auto" w:fill="D9D9D9" w:themeFill="background1" w:themeFillShade="D9"/>
              <w:rPr>
                <w:rStyle w:val="Hipercze"/>
                <w:lang w:val="en-GB"/>
              </w:rPr>
            </w:pPr>
            <w:hyperlink r:id="rId30" w:tooltip="link to the publication &quot;Methodological report. Non-financial enterprises surveys 2019&quot;" w:history="1">
              <w:r w:rsidR="0049500E" w:rsidRPr="0014154D">
                <w:rPr>
                  <w:rStyle w:val="Hipercze"/>
                  <w:lang w:val="en-GB"/>
                </w:rPr>
                <w:t>Methodological report. Non-financial enterprises surveys 2019</w:t>
              </w:r>
            </w:hyperlink>
          </w:p>
          <w:p w14:paraId="2D2C5511" w14:textId="77777777" w:rsidR="0049500E" w:rsidRPr="0014154D" w:rsidRDefault="0049500E" w:rsidP="0049500E">
            <w:pPr>
              <w:shd w:val="clear" w:color="auto" w:fill="D9D9D9" w:themeFill="background1" w:themeFillShade="D9"/>
              <w:spacing w:before="360"/>
              <w:rPr>
                <w:b/>
                <w:color w:val="000000" w:themeColor="text1"/>
                <w:szCs w:val="24"/>
                <w:lang w:val="en-GB"/>
              </w:rPr>
            </w:pPr>
            <w:r w:rsidRPr="0014154D">
              <w:rPr>
                <w:b/>
                <w:color w:val="000000" w:themeColor="text1"/>
                <w:szCs w:val="24"/>
                <w:lang w:val="en-GB"/>
              </w:rPr>
              <w:t>Terms used in official statistics</w:t>
            </w:r>
          </w:p>
          <w:p w14:paraId="18C84B83" w14:textId="53064921" w:rsidR="0049500E" w:rsidRPr="0014154D" w:rsidRDefault="0014154D" w:rsidP="0049500E">
            <w:pPr>
              <w:shd w:val="clear" w:color="auto" w:fill="D9D9D9" w:themeFill="background1" w:themeFillShade="D9"/>
              <w:spacing w:after="0"/>
              <w:rPr>
                <w:rFonts w:cs="Times New Roman"/>
                <w:color w:val="0000FF"/>
                <w:u w:val="single"/>
                <w:lang w:val="en-GB"/>
              </w:rPr>
            </w:pPr>
            <w:hyperlink r:id="rId31" w:tooltip="link to the term &quot;Total revenues&quot;" w:history="1">
              <w:r w:rsidR="0049500E" w:rsidRPr="0014154D">
                <w:rPr>
                  <w:rStyle w:val="Hipercze"/>
                  <w:lang w:val="en-GB"/>
                </w:rPr>
                <w:t>Total revenues</w:t>
              </w:r>
            </w:hyperlink>
          </w:p>
          <w:p w14:paraId="5705AE5D" w14:textId="48050035" w:rsidR="0049500E" w:rsidRPr="0014154D" w:rsidRDefault="0014154D" w:rsidP="0049500E">
            <w:pPr>
              <w:shd w:val="clear" w:color="auto" w:fill="D9D9D9" w:themeFill="background1" w:themeFillShade="D9"/>
              <w:spacing w:after="0"/>
              <w:rPr>
                <w:rFonts w:cs="Times New Roman"/>
                <w:color w:val="0000FF"/>
                <w:u w:val="single"/>
                <w:lang w:val="en-GB"/>
              </w:rPr>
            </w:pPr>
            <w:hyperlink r:id="rId32" w:tooltip="link to the term &quot;Total costs&quot;" w:history="1">
              <w:r w:rsidR="0049500E" w:rsidRPr="0014154D">
                <w:rPr>
                  <w:rStyle w:val="Hipercze"/>
                  <w:lang w:val="en-GB"/>
                </w:rPr>
                <w:t>Total costs</w:t>
              </w:r>
            </w:hyperlink>
          </w:p>
          <w:p w14:paraId="0FFF1475" w14:textId="6B85B847" w:rsidR="0049500E" w:rsidRPr="0014154D" w:rsidRDefault="0014154D" w:rsidP="0049500E">
            <w:pPr>
              <w:shd w:val="clear" w:color="auto" w:fill="D9D9D9" w:themeFill="background1" w:themeFillShade="D9"/>
              <w:spacing w:after="0"/>
              <w:rPr>
                <w:rFonts w:cs="Times New Roman"/>
                <w:color w:val="0000FF"/>
                <w:u w:val="single"/>
                <w:lang w:val="en-GB"/>
              </w:rPr>
            </w:pPr>
            <w:hyperlink r:id="rId33" w:tooltip="link to the term &quot;Gross financial result&quot;" w:history="1">
              <w:r w:rsidR="0049500E" w:rsidRPr="0014154D">
                <w:rPr>
                  <w:rStyle w:val="Hipercze"/>
                  <w:lang w:val="en-GB"/>
                </w:rPr>
                <w:t>Gross financial result</w:t>
              </w:r>
            </w:hyperlink>
          </w:p>
          <w:p w14:paraId="47C08AD8" w14:textId="62D9E1BC" w:rsidR="0049500E" w:rsidRPr="0014154D" w:rsidRDefault="0014154D" w:rsidP="0049500E">
            <w:pPr>
              <w:shd w:val="clear" w:color="auto" w:fill="D9D9D9" w:themeFill="background1" w:themeFillShade="D9"/>
              <w:spacing w:after="0"/>
              <w:rPr>
                <w:rFonts w:cs="Times New Roman"/>
                <w:color w:val="0000FF"/>
                <w:u w:val="single"/>
                <w:lang w:val="en-GB"/>
              </w:rPr>
            </w:pPr>
            <w:hyperlink r:id="rId34" w:tooltip="link to the term &quot;Net financial result&quot;" w:history="1">
              <w:r w:rsidR="0049500E" w:rsidRPr="0014154D">
                <w:rPr>
                  <w:rStyle w:val="Hipercze"/>
                  <w:lang w:val="en-GB"/>
                </w:rPr>
                <w:t>Net financial result</w:t>
              </w:r>
            </w:hyperlink>
          </w:p>
          <w:p w14:paraId="409B5F1A" w14:textId="7035A53A" w:rsidR="0049500E" w:rsidRPr="0014154D" w:rsidRDefault="0014154D" w:rsidP="0049500E">
            <w:pPr>
              <w:shd w:val="clear" w:color="auto" w:fill="D9D9D9" w:themeFill="background1" w:themeFillShade="D9"/>
              <w:spacing w:after="0"/>
              <w:rPr>
                <w:rFonts w:cs="Times New Roman"/>
                <w:color w:val="0000FF"/>
                <w:u w:val="single"/>
                <w:lang w:val="en-GB"/>
              </w:rPr>
            </w:pPr>
            <w:hyperlink r:id="rId35" w:tooltip="link to the term &quot;Investment outlays&quot;" w:history="1">
              <w:r w:rsidR="0049500E" w:rsidRPr="0014154D">
                <w:rPr>
                  <w:rStyle w:val="Hipercze"/>
                  <w:lang w:val="en-GB"/>
                </w:rPr>
                <w:t>Investment outlays</w:t>
              </w:r>
            </w:hyperlink>
          </w:p>
          <w:p w14:paraId="239C5219" w14:textId="1A735C43" w:rsidR="0049500E" w:rsidRPr="0014154D" w:rsidRDefault="0014154D" w:rsidP="0049500E">
            <w:pPr>
              <w:shd w:val="clear" w:color="auto" w:fill="D9D9D9" w:themeFill="background1" w:themeFillShade="D9"/>
              <w:spacing w:after="0"/>
              <w:rPr>
                <w:rFonts w:cs="Times New Roman"/>
                <w:color w:val="0000FF"/>
                <w:u w:val="single"/>
                <w:lang w:val="en-GB"/>
              </w:rPr>
            </w:pPr>
            <w:hyperlink r:id="rId36" w:tooltip="link to the term &quot;Outlays on intangible fixed assets&quot;" w:history="1">
              <w:r w:rsidR="0049500E" w:rsidRPr="0014154D">
                <w:rPr>
                  <w:rStyle w:val="Hipercze"/>
                  <w:lang w:val="en-GB"/>
                </w:rPr>
                <w:t>Outlays on intangible fixed assets</w:t>
              </w:r>
            </w:hyperlink>
          </w:p>
          <w:p w14:paraId="77ECBDD0" w14:textId="47CA92CA" w:rsidR="0077282A" w:rsidRPr="0014154D" w:rsidRDefault="0014154D" w:rsidP="0049500E">
            <w:pPr>
              <w:rPr>
                <w:rFonts w:cs="Times New Roman"/>
                <w:color w:val="0000FF"/>
                <w:u w:val="single"/>
                <w:lang w:val="en-GB"/>
              </w:rPr>
            </w:pPr>
            <w:hyperlink r:id="rId37" w:tooltip="link to the term &quot;Cultural institution&quot;" w:history="1">
              <w:r w:rsidR="0049500E" w:rsidRPr="0014154D">
                <w:rPr>
                  <w:rStyle w:val="Hipercze"/>
                  <w:lang w:val="en-GB"/>
                </w:rPr>
                <w:t>Cultural institution</w:t>
              </w:r>
            </w:hyperlink>
          </w:p>
        </w:tc>
      </w:tr>
      <w:bookmarkEnd w:id="0"/>
    </w:tbl>
    <w:p w14:paraId="6CD67820" w14:textId="77777777" w:rsidR="0077282A" w:rsidRPr="0014154D" w:rsidRDefault="0077282A" w:rsidP="00863791">
      <w:pPr>
        <w:spacing w:before="0" w:after="0" w:line="276" w:lineRule="auto"/>
        <w:rPr>
          <w:sz w:val="18"/>
          <w:lang w:val="en-GB"/>
        </w:rPr>
      </w:pPr>
    </w:p>
    <w:sectPr w:rsidR="0077282A" w:rsidRPr="0014154D" w:rsidSect="003B18B6">
      <w:headerReference w:type="default" r:id="rId38"/>
      <w:footerReference w:type="default" r:id="rId3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04941" w14:textId="77777777" w:rsidR="00D37073" w:rsidRDefault="00D37073" w:rsidP="000662E2">
      <w:pPr>
        <w:spacing w:after="0" w:line="240" w:lineRule="auto"/>
      </w:pPr>
      <w:r>
        <w:separator/>
      </w:r>
    </w:p>
  </w:endnote>
  <w:endnote w:type="continuationSeparator" w:id="0">
    <w:p w14:paraId="428C018D" w14:textId="77777777" w:rsidR="00D37073" w:rsidRDefault="00D37073"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889568"/>
      <w:docPartObj>
        <w:docPartGallery w:val="Page Numbers (Bottom of Page)"/>
        <w:docPartUnique/>
      </w:docPartObj>
    </w:sdtPr>
    <w:sdtEndPr/>
    <w:sdtContent>
      <w:p w14:paraId="3F08A182" w14:textId="77777777" w:rsidR="007762FA" w:rsidRDefault="007762FA" w:rsidP="003B18B6">
        <w:pPr>
          <w:pStyle w:val="Stopka"/>
          <w:jc w:val="center"/>
        </w:pPr>
        <w:r>
          <w:fldChar w:fldCharType="begin"/>
        </w:r>
        <w:r>
          <w:instrText>PAGE   \* MERGEFORMAT</w:instrText>
        </w:r>
        <w:r>
          <w:fldChar w:fldCharType="separate"/>
        </w:r>
        <w:r w:rsidR="006E7FC8">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508488"/>
      <w:docPartObj>
        <w:docPartGallery w:val="Page Numbers (Bottom of Page)"/>
        <w:docPartUnique/>
      </w:docPartObj>
    </w:sdtPr>
    <w:sdtEndPr/>
    <w:sdtContent>
      <w:p w14:paraId="14584E7D" w14:textId="77777777" w:rsidR="007762FA" w:rsidRDefault="007762FA" w:rsidP="003B18B6">
        <w:pPr>
          <w:pStyle w:val="Stopka"/>
          <w:jc w:val="center"/>
        </w:pPr>
        <w:r>
          <w:fldChar w:fldCharType="begin"/>
        </w:r>
        <w:r>
          <w:instrText>PAGE   \* MERGEFORMAT</w:instrText>
        </w:r>
        <w:r>
          <w:fldChar w:fldCharType="separate"/>
        </w:r>
        <w:r w:rsidR="006E7FC8">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6E7FC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01A1F" w14:textId="77777777" w:rsidR="00D37073" w:rsidRDefault="00D37073" w:rsidP="000662E2">
      <w:pPr>
        <w:spacing w:after="0" w:line="240" w:lineRule="auto"/>
      </w:pPr>
      <w:r>
        <w:separator/>
      </w:r>
    </w:p>
  </w:footnote>
  <w:footnote w:type="continuationSeparator" w:id="0">
    <w:p w14:paraId="51856A83" w14:textId="77777777" w:rsidR="00D37073" w:rsidRDefault="00D37073"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E39F" w14:textId="77777777" w:rsidR="007762FA" w:rsidRDefault="007762FA">
    <w:pPr>
      <w:pStyle w:val="Nagwek"/>
    </w:pPr>
    <w:r>
      <w:rPr>
        <w:noProof/>
        <w:lang w:eastAsia="pl-PL"/>
      </w:rPr>
      <mc:AlternateContent>
        <mc:Choice Requires="wps">
          <w:drawing>
            <wp:anchor distT="0" distB="0" distL="114300" distR="114300" simplePos="0" relativeHeight="251679744" behindDoc="1" locked="0" layoutInCell="1" allowOverlap="1" wp14:anchorId="7D7FC2A2" wp14:editId="295AB7C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5" name="Prostokąt 15"/>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84C3E" id="Prostokąt 15"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061C" w14:textId="77777777" w:rsidR="007762FA" w:rsidRDefault="007762FA" w:rsidP="00627887">
    <w:pPr>
      <w:pStyle w:val="Nagwek"/>
      <w:spacing w:before="240" w:after="480"/>
      <w:rPr>
        <w:noProof/>
        <w:lang w:eastAsia="pl-PL"/>
      </w:rPr>
    </w:pPr>
    <w:r>
      <w:rPr>
        <w:noProof/>
        <w:lang w:eastAsia="pl-PL"/>
      </w:rPr>
      <w:drawing>
        <wp:inline distT="0" distB="0" distL="0" distR="0" wp14:anchorId="184897DF" wp14:editId="33F70C4C">
          <wp:extent cx="1867489" cy="468000"/>
          <wp:effectExtent l="0" t="0" r="0" b="8255"/>
          <wp:docPr id="8" name="Obraz 8"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Pr="00F37172">
      <w:rPr>
        <w:noProof/>
        <w:lang w:eastAsia="pl-PL"/>
      </w:rPr>
      <mc:AlternateContent>
        <mc:Choice Requires="wps">
          <w:drawing>
            <wp:anchor distT="45720" distB="45720" distL="114300" distR="114300" simplePos="0" relativeHeight="251680768" behindDoc="0" locked="0" layoutInCell="1" allowOverlap="1" wp14:anchorId="279F819F" wp14:editId="04411D86">
              <wp:simplePos x="0" y="0"/>
              <wp:positionH relativeFrom="column">
                <wp:posOffset>5290820</wp:posOffset>
              </wp:positionH>
              <wp:positionV relativeFrom="paragraph">
                <wp:posOffset>930579</wp:posOffset>
              </wp:positionV>
              <wp:extent cx="1432293" cy="336589"/>
              <wp:effectExtent l="0" t="0" r="0" b="6350"/>
              <wp:wrapNone/>
              <wp:docPr id="17" name="Pole tekstowe 2" descr="Publication data 13.06.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03FAD6" w14:textId="30461DF0" w:rsidR="007762FA" w:rsidRPr="00A01B40" w:rsidRDefault="00DF42C0" w:rsidP="0057332C">
                          <w:pPr>
                            <w:pStyle w:val="Datainformacjisygnalnej"/>
                          </w:pPr>
                          <w:r>
                            <w:t>13.06</w:t>
                          </w:r>
                          <w:r w:rsidR="008C682B">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F819F" id="_x0000_t202" coordsize="21600,21600" o:spt="202" path="m,l,21600r21600,l21600,xe">
              <v:stroke joinstyle="miter"/>
              <v:path gradientshapeok="t" o:connecttype="rect"/>
            </v:shapetype>
            <v:shape id="_x0000_s1029" type="#_x0000_t202" alt="Publication data 13.06.2024" style="position:absolute;margin-left:416.6pt;margin-top:73.25pt;width:112.8pt;height:2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" filled="f" stroked="f">
              <v:textbox>
                <w:txbxContent>
                  <w:p w14:paraId="2103FAD6" w14:textId="30461DF0" w:rsidR="007762FA" w:rsidRPr="00A01B40" w:rsidRDefault="00DF42C0" w:rsidP="0057332C">
                    <w:pPr>
                      <w:pStyle w:val="Datainformacjisygnalnej"/>
                    </w:pPr>
                    <w:r>
                      <w:t>13.06</w:t>
                    </w:r>
                    <w:r w:rsidR="008C682B">
                      <w:t>.2024</w:t>
                    </w:r>
                  </w:p>
                </w:txbxContent>
              </v:textbox>
            </v:shape>
          </w:pict>
        </mc:Fallback>
      </mc:AlternateContent>
    </w:r>
    <w:r w:rsidRPr="00F37172">
      <w:rPr>
        <w:noProof/>
        <w:lang w:eastAsia="pl-PL"/>
      </w:rPr>
      <mc:AlternateContent>
        <mc:Choice Requires="wps">
          <w:drawing>
            <wp:anchor distT="0" distB="0" distL="114300" distR="114300" simplePos="0" relativeHeight="251678720" behindDoc="0" locked="0" layoutInCell="1" allowOverlap="1" wp14:anchorId="06C365F1" wp14:editId="112A725F">
              <wp:simplePos x="0" y="0"/>
              <wp:positionH relativeFrom="column">
                <wp:posOffset>5036820</wp:posOffset>
              </wp:positionH>
              <wp:positionV relativeFrom="paragraph">
                <wp:posOffset>198755</wp:posOffset>
              </wp:positionV>
              <wp:extent cx="2060575" cy="357505"/>
              <wp:effectExtent l="0" t="0" r="0" b="4445"/>
              <wp:wrapNone/>
              <wp:docPr id="1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65F1" id="Schemat blokowy: opóźnienie 6" o:spid="_x0000_s1030" alt="News releases" style="position:absolute;margin-left:396.6pt;margin-top:15.65pt;width:162.25pt;height:2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GdUgYAACg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DKLxnVIGAAAo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77696" behindDoc="1" locked="0" layoutInCell="1" allowOverlap="1" wp14:anchorId="2472533F" wp14:editId="50F05C38">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21" name="Prostokąt 21"/>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EBB24" id="Prostokąt 21" o:spid="_x0000_s1026" style="position:absolute;margin-left:410.95pt;margin-top:40.3pt;width:147.4pt;height:180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ANUmTSnQIAAIoFAAAOAAAAAAAAAAAAAAAAAC4C&#10;AABkcnMvZTJvRG9jLnhtbFBLAQItABQABgAIAAAAIQCmsibO5AAAAAwBAAAPAAAAAAAAAAAAAAAA&#10;APcEAABkcnMvZG93bnJldi54bWxQSwUGAAAAAAQABADzAAAACAYAAAAA&#10;" fillcolor="#f2f2f2" stroked="f" strokeweight="1pt">
              <w10:wrap type="tigh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607CC5" w:rsidRDefault="00607CC5">
    <w:pPr>
      <w:pStyle w:val="Nagwek"/>
    </w:pPr>
  </w:p>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25pt;height:129.75pt;visibility:visible;mso-wrap-style:square" o:bullet="t">
        <v:imagedata r:id="rId1" o:title=""/>
      </v:shape>
    </w:pict>
  </w:numPicBullet>
  <w:numPicBullet w:numPicBulletId="1">
    <w:pict>
      <v:shape id="_x0000_i1027" type="#_x0000_t75" style="width:122.25pt;height:129.7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2B65"/>
    <w:rsid w:val="00003437"/>
    <w:rsid w:val="00004119"/>
    <w:rsid w:val="00006843"/>
    <w:rsid w:val="0000709F"/>
    <w:rsid w:val="00010159"/>
    <w:rsid w:val="000108B8"/>
    <w:rsid w:val="00011A62"/>
    <w:rsid w:val="000134C6"/>
    <w:rsid w:val="000152F5"/>
    <w:rsid w:val="00017EE0"/>
    <w:rsid w:val="00021C39"/>
    <w:rsid w:val="00025AC2"/>
    <w:rsid w:val="00026804"/>
    <w:rsid w:val="000303D7"/>
    <w:rsid w:val="0004126F"/>
    <w:rsid w:val="00044667"/>
    <w:rsid w:val="0004582E"/>
    <w:rsid w:val="000470AA"/>
    <w:rsid w:val="0004788F"/>
    <w:rsid w:val="000564CC"/>
    <w:rsid w:val="00057CA1"/>
    <w:rsid w:val="0006380D"/>
    <w:rsid w:val="000647A9"/>
    <w:rsid w:val="000656A8"/>
    <w:rsid w:val="000662E2"/>
    <w:rsid w:val="00066883"/>
    <w:rsid w:val="00067FF1"/>
    <w:rsid w:val="00071B39"/>
    <w:rsid w:val="0007265D"/>
    <w:rsid w:val="0007301F"/>
    <w:rsid w:val="00074DD8"/>
    <w:rsid w:val="00075742"/>
    <w:rsid w:val="00075759"/>
    <w:rsid w:val="000758EC"/>
    <w:rsid w:val="000806F7"/>
    <w:rsid w:val="00080C64"/>
    <w:rsid w:val="0008656F"/>
    <w:rsid w:val="00086906"/>
    <w:rsid w:val="00092305"/>
    <w:rsid w:val="00093004"/>
    <w:rsid w:val="00095966"/>
    <w:rsid w:val="00096D6A"/>
    <w:rsid w:val="00097840"/>
    <w:rsid w:val="000A16D8"/>
    <w:rsid w:val="000A1CB5"/>
    <w:rsid w:val="000A7BED"/>
    <w:rsid w:val="000A7C30"/>
    <w:rsid w:val="000B0727"/>
    <w:rsid w:val="000B19C5"/>
    <w:rsid w:val="000B323E"/>
    <w:rsid w:val="000B3F66"/>
    <w:rsid w:val="000B3F99"/>
    <w:rsid w:val="000B3FC6"/>
    <w:rsid w:val="000C135D"/>
    <w:rsid w:val="000C4742"/>
    <w:rsid w:val="000C4C2E"/>
    <w:rsid w:val="000D1D43"/>
    <w:rsid w:val="000D225C"/>
    <w:rsid w:val="000D2A5C"/>
    <w:rsid w:val="000D2F00"/>
    <w:rsid w:val="000D3262"/>
    <w:rsid w:val="000D39F0"/>
    <w:rsid w:val="000D7E5C"/>
    <w:rsid w:val="000E0918"/>
    <w:rsid w:val="000E7199"/>
    <w:rsid w:val="000E7901"/>
    <w:rsid w:val="000E79A9"/>
    <w:rsid w:val="000F2E7E"/>
    <w:rsid w:val="000F62BF"/>
    <w:rsid w:val="001011C3"/>
    <w:rsid w:val="001011F3"/>
    <w:rsid w:val="00102446"/>
    <w:rsid w:val="00102CD1"/>
    <w:rsid w:val="00106DA3"/>
    <w:rsid w:val="00107A55"/>
    <w:rsid w:val="00110214"/>
    <w:rsid w:val="00110D87"/>
    <w:rsid w:val="00112399"/>
    <w:rsid w:val="00114DB9"/>
    <w:rsid w:val="00116087"/>
    <w:rsid w:val="00117711"/>
    <w:rsid w:val="00122E88"/>
    <w:rsid w:val="00123C9E"/>
    <w:rsid w:val="00124153"/>
    <w:rsid w:val="00125525"/>
    <w:rsid w:val="00130296"/>
    <w:rsid w:val="00131443"/>
    <w:rsid w:val="0013205B"/>
    <w:rsid w:val="00133651"/>
    <w:rsid w:val="00134145"/>
    <w:rsid w:val="00136736"/>
    <w:rsid w:val="00136D67"/>
    <w:rsid w:val="00140ADB"/>
    <w:rsid w:val="00140FFE"/>
    <w:rsid w:val="0014154D"/>
    <w:rsid w:val="001423B6"/>
    <w:rsid w:val="00143957"/>
    <w:rsid w:val="001448A7"/>
    <w:rsid w:val="00144CAE"/>
    <w:rsid w:val="00146621"/>
    <w:rsid w:val="00151077"/>
    <w:rsid w:val="00153446"/>
    <w:rsid w:val="00154131"/>
    <w:rsid w:val="0015465E"/>
    <w:rsid w:val="00156EC0"/>
    <w:rsid w:val="00157896"/>
    <w:rsid w:val="001617E3"/>
    <w:rsid w:val="00162325"/>
    <w:rsid w:val="00163D43"/>
    <w:rsid w:val="0016407B"/>
    <w:rsid w:val="00174A1D"/>
    <w:rsid w:val="00180822"/>
    <w:rsid w:val="00187DDC"/>
    <w:rsid w:val="00193AA0"/>
    <w:rsid w:val="00194F0F"/>
    <w:rsid w:val="001951DA"/>
    <w:rsid w:val="00197D40"/>
    <w:rsid w:val="001A0F2D"/>
    <w:rsid w:val="001A32E4"/>
    <w:rsid w:val="001B011C"/>
    <w:rsid w:val="001B053D"/>
    <w:rsid w:val="001B313A"/>
    <w:rsid w:val="001B52E0"/>
    <w:rsid w:val="001C147B"/>
    <w:rsid w:val="001C3269"/>
    <w:rsid w:val="001C4B7D"/>
    <w:rsid w:val="001D19B6"/>
    <w:rsid w:val="001D1C78"/>
    <w:rsid w:val="001D1DB4"/>
    <w:rsid w:val="001D23F1"/>
    <w:rsid w:val="001D25F9"/>
    <w:rsid w:val="001D2EEB"/>
    <w:rsid w:val="001D4695"/>
    <w:rsid w:val="001D61ED"/>
    <w:rsid w:val="001E0386"/>
    <w:rsid w:val="001E0B4B"/>
    <w:rsid w:val="001E5B2D"/>
    <w:rsid w:val="001F1ADC"/>
    <w:rsid w:val="001F4ABF"/>
    <w:rsid w:val="001F563D"/>
    <w:rsid w:val="001F770C"/>
    <w:rsid w:val="00200D3A"/>
    <w:rsid w:val="0020156C"/>
    <w:rsid w:val="00203905"/>
    <w:rsid w:val="002064CD"/>
    <w:rsid w:val="002130F5"/>
    <w:rsid w:val="00213AEF"/>
    <w:rsid w:val="002153B1"/>
    <w:rsid w:val="00216634"/>
    <w:rsid w:val="00217196"/>
    <w:rsid w:val="002200E0"/>
    <w:rsid w:val="002214CE"/>
    <w:rsid w:val="0022298A"/>
    <w:rsid w:val="002239FF"/>
    <w:rsid w:val="00226513"/>
    <w:rsid w:val="00231082"/>
    <w:rsid w:val="00231B77"/>
    <w:rsid w:val="002333CE"/>
    <w:rsid w:val="0023674F"/>
    <w:rsid w:val="00236B33"/>
    <w:rsid w:val="00241963"/>
    <w:rsid w:val="00241FA7"/>
    <w:rsid w:val="0024273B"/>
    <w:rsid w:val="00242D31"/>
    <w:rsid w:val="002442BD"/>
    <w:rsid w:val="00247B69"/>
    <w:rsid w:val="0025019A"/>
    <w:rsid w:val="00253348"/>
    <w:rsid w:val="00253CEC"/>
    <w:rsid w:val="0025481E"/>
    <w:rsid w:val="002574F9"/>
    <w:rsid w:val="00260894"/>
    <w:rsid w:val="00262B61"/>
    <w:rsid w:val="00262CC6"/>
    <w:rsid w:val="00263E08"/>
    <w:rsid w:val="002669F1"/>
    <w:rsid w:val="00266C29"/>
    <w:rsid w:val="00266DDB"/>
    <w:rsid w:val="002708CE"/>
    <w:rsid w:val="0027180D"/>
    <w:rsid w:val="00271D23"/>
    <w:rsid w:val="002726D2"/>
    <w:rsid w:val="00272C59"/>
    <w:rsid w:val="0027656D"/>
    <w:rsid w:val="00276811"/>
    <w:rsid w:val="00280BDF"/>
    <w:rsid w:val="00282699"/>
    <w:rsid w:val="00285253"/>
    <w:rsid w:val="00286680"/>
    <w:rsid w:val="00290A7E"/>
    <w:rsid w:val="002926DF"/>
    <w:rsid w:val="00296697"/>
    <w:rsid w:val="00297B38"/>
    <w:rsid w:val="002A2E23"/>
    <w:rsid w:val="002A471E"/>
    <w:rsid w:val="002A655D"/>
    <w:rsid w:val="002B0472"/>
    <w:rsid w:val="002B3C0D"/>
    <w:rsid w:val="002B4995"/>
    <w:rsid w:val="002B6282"/>
    <w:rsid w:val="002B6B12"/>
    <w:rsid w:val="002C157F"/>
    <w:rsid w:val="002C21F0"/>
    <w:rsid w:val="002C3E5F"/>
    <w:rsid w:val="002C4469"/>
    <w:rsid w:val="002C4774"/>
    <w:rsid w:val="002C70F6"/>
    <w:rsid w:val="002D01DF"/>
    <w:rsid w:val="002D2B89"/>
    <w:rsid w:val="002D30C7"/>
    <w:rsid w:val="002D4F2B"/>
    <w:rsid w:val="002D6769"/>
    <w:rsid w:val="002E1608"/>
    <w:rsid w:val="002E175E"/>
    <w:rsid w:val="002E229C"/>
    <w:rsid w:val="002E386D"/>
    <w:rsid w:val="002E3EB3"/>
    <w:rsid w:val="002E4DAD"/>
    <w:rsid w:val="002E6140"/>
    <w:rsid w:val="002E6985"/>
    <w:rsid w:val="002E71B6"/>
    <w:rsid w:val="002F1645"/>
    <w:rsid w:val="002F35F6"/>
    <w:rsid w:val="002F3F4A"/>
    <w:rsid w:val="002F44E9"/>
    <w:rsid w:val="002F5768"/>
    <w:rsid w:val="002F77C8"/>
    <w:rsid w:val="00302A3F"/>
    <w:rsid w:val="00302E96"/>
    <w:rsid w:val="00304F22"/>
    <w:rsid w:val="00305C4B"/>
    <w:rsid w:val="00306C7C"/>
    <w:rsid w:val="0031107D"/>
    <w:rsid w:val="003120D1"/>
    <w:rsid w:val="00314F86"/>
    <w:rsid w:val="00315802"/>
    <w:rsid w:val="00315FB4"/>
    <w:rsid w:val="00316775"/>
    <w:rsid w:val="00317F4D"/>
    <w:rsid w:val="00321B3E"/>
    <w:rsid w:val="00322EDD"/>
    <w:rsid w:val="003233A9"/>
    <w:rsid w:val="00323407"/>
    <w:rsid w:val="003260BE"/>
    <w:rsid w:val="003265B2"/>
    <w:rsid w:val="003309FA"/>
    <w:rsid w:val="00330D24"/>
    <w:rsid w:val="00331A75"/>
    <w:rsid w:val="00332320"/>
    <w:rsid w:val="00335908"/>
    <w:rsid w:val="00342D75"/>
    <w:rsid w:val="00345E06"/>
    <w:rsid w:val="00347D72"/>
    <w:rsid w:val="00350E19"/>
    <w:rsid w:val="003521FF"/>
    <w:rsid w:val="00352E86"/>
    <w:rsid w:val="00353F45"/>
    <w:rsid w:val="0035677A"/>
    <w:rsid w:val="00357611"/>
    <w:rsid w:val="0036229D"/>
    <w:rsid w:val="00362A9B"/>
    <w:rsid w:val="0036432A"/>
    <w:rsid w:val="00364AF9"/>
    <w:rsid w:val="00367237"/>
    <w:rsid w:val="0037077F"/>
    <w:rsid w:val="003718CD"/>
    <w:rsid w:val="00372411"/>
    <w:rsid w:val="00373882"/>
    <w:rsid w:val="00374B5F"/>
    <w:rsid w:val="00376968"/>
    <w:rsid w:val="00377A43"/>
    <w:rsid w:val="003806A0"/>
    <w:rsid w:val="003843DB"/>
    <w:rsid w:val="00386015"/>
    <w:rsid w:val="00390580"/>
    <w:rsid w:val="0039064A"/>
    <w:rsid w:val="00391259"/>
    <w:rsid w:val="00393761"/>
    <w:rsid w:val="003946F9"/>
    <w:rsid w:val="00394E26"/>
    <w:rsid w:val="00396691"/>
    <w:rsid w:val="00397D18"/>
    <w:rsid w:val="003A1B36"/>
    <w:rsid w:val="003A2A72"/>
    <w:rsid w:val="003A2B07"/>
    <w:rsid w:val="003B0FF2"/>
    <w:rsid w:val="003B1454"/>
    <w:rsid w:val="003B15C6"/>
    <w:rsid w:val="003B18B6"/>
    <w:rsid w:val="003B3863"/>
    <w:rsid w:val="003B3D7D"/>
    <w:rsid w:val="003B4F7C"/>
    <w:rsid w:val="003B54B6"/>
    <w:rsid w:val="003B65C0"/>
    <w:rsid w:val="003B668D"/>
    <w:rsid w:val="003C025A"/>
    <w:rsid w:val="003C161B"/>
    <w:rsid w:val="003C1D73"/>
    <w:rsid w:val="003C430B"/>
    <w:rsid w:val="003C507B"/>
    <w:rsid w:val="003C5274"/>
    <w:rsid w:val="003C59E0"/>
    <w:rsid w:val="003C5CC0"/>
    <w:rsid w:val="003C6C0E"/>
    <w:rsid w:val="003C6C8D"/>
    <w:rsid w:val="003C75B2"/>
    <w:rsid w:val="003D2656"/>
    <w:rsid w:val="003D2AB3"/>
    <w:rsid w:val="003D4F95"/>
    <w:rsid w:val="003D5F42"/>
    <w:rsid w:val="003D60A9"/>
    <w:rsid w:val="003D7858"/>
    <w:rsid w:val="003E0EDC"/>
    <w:rsid w:val="003E14E3"/>
    <w:rsid w:val="003E16FF"/>
    <w:rsid w:val="003E76F6"/>
    <w:rsid w:val="003F1D96"/>
    <w:rsid w:val="003F3FFD"/>
    <w:rsid w:val="003F458E"/>
    <w:rsid w:val="003F4C97"/>
    <w:rsid w:val="003F5475"/>
    <w:rsid w:val="003F666D"/>
    <w:rsid w:val="003F7FE6"/>
    <w:rsid w:val="00400193"/>
    <w:rsid w:val="0040084E"/>
    <w:rsid w:val="00401D2E"/>
    <w:rsid w:val="00403B32"/>
    <w:rsid w:val="00403EAE"/>
    <w:rsid w:val="00404EA3"/>
    <w:rsid w:val="00404F5D"/>
    <w:rsid w:val="00405DFE"/>
    <w:rsid w:val="00406856"/>
    <w:rsid w:val="00410F71"/>
    <w:rsid w:val="00411556"/>
    <w:rsid w:val="00411A97"/>
    <w:rsid w:val="00414460"/>
    <w:rsid w:val="00416EAF"/>
    <w:rsid w:val="00420219"/>
    <w:rsid w:val="004212E7"/>
    <w:rsid w:val="00423C88"/>
    <w:rsid w:val="0042403F"/>
    <w:rsid w:val="0042446D"/>
    <w:rsid w:val="004267AC"/>
    <w:rsid w:val="00427BF8"/>
    <w:rsid w:val="00431BF5"/>
    <w:rsid w:val="00431C02"/>
    <w:rsid w:val="00434FE7"/>
    <w:rsid w:val="00437395"/>
    <w:rsid w:val="00441DCD"/>
    <w:rsid w:val="00443036"/>
    <w:rsid w:val="004442D0"/>
    <w:rsid w:val="00444D37"/>
    <w:rsid w:val="00445047"/>
    <w:rsid w:val="00445AA3"/>
    <w:rsid w:val="00446749"/>
    <w:rsid w:val="00446D34"/>
    <w:rsid w:val="00447289"/>
    <w:rsid w:val="004528E0"/>
    <w:rsid w:val="00453672"/>
    <w:rsid w:val="00453EB7"/>
    <w:rsid w:val="00457394"/>
    <w:rsid w:val="00457427"/>
    <w:rsid w:val="00463E39"/>
    <w:rsid w:val="004657FC"/>
    <w:rsid w:val="00466A99"/>
    <w:rsid w:val="00472EB6"/>
    <w:rsid w:val="004733F6"/>
    <w:rsid w:val="00473557"/>
    <w:rsid w:val="00474E69"/>
    <w:rsid w:val="00477F4E"/>
    <w:rsid w:val="0048136E"/>
    <w:rsid w:val="00483E9F"/>
    <w:rsid w:val="00485759"/>
    <w:rsid w:val="00485A2C"/>
    <w:rsid w:val="00486E0E"/>
    <w:rsid w:val="00491E76"/>
    <w:rsid w:val="0049246F"/>
    <w:rsid w:val="0049500E"/>
    <w:rsid w:val="0049621B"/>
    <w:rsid w:val="004A1D19"/>
    <w:rsid w:val="004A28E4"/>
    <w:rsid w:val="004A399C"/>
    <w:rsid w:val="004A406A"/>
    <w:rsid w:val="004B0408"/>
    <w:rsid w:val="004B429E"/>
    <w:rsid w:val="004B4713"/>
    <w:rsid w:val="004B534C"/>
    <w:rsid w:val="004B56CA"/>
    <w:rsid w:val="004B678F"/>
    <w:rsid w:val="004B6CDA"/>
    <w:rsid w:val="004C1895"/>
    <w:rsid w:val="004C1D0E"/>
    <w:rsid w:val="004C6D40"/>
    <w:rsid w:val="004C7FB6"/>
    <w:rsid w:val="004D004E"/>
    <w:rsid w:val="004D06EF"/>
    <w:rsid w:val="004D636A"/>
    <w:rsid w:val="004D77F1"/>
    <w:rsid w:val="004E0C32"/>
    <w:rsid w:val="004E28B4"/>
    <w:rsid w:val="004E6AA8"/>
    <w:rsid w:val="004F0C3C"/>
    <w:rsid w:val="004F2280"/>
    <w:rsid w:val="004F23BB"/>
    <w:rsid w:val="004F63FC"/>
    <w:rsid w:val="00500489"/>
    <w:rsid w:val="0050328A"/>
    <w:rsid w:val="00503585"/>
    <w:rsid w:val="00503E18"/>
    <w:rsid w:val="00505A92"/>
    <w:rsid w:val="005067F2"/>
    <w:rsid w:val="00511823"/>
    <w:rsid w:val="00511E14"/>
    <w:rsid w:val="00513768"/>
    <w:rsid w:val="00513C95"/>
    <w:rsid w:val="005203F1"/>
    <w:rsid w:val="00521BC3"/>
    <w:rsid w:val="005232C7"/>
    <w:rsid w:val="005233CF"/>
    <w:rsid w:val="00523B60"/>
    <w:rsid w:val="005244EC"/>
    <w:rsid w:val="0052656C"/>
    <w:rsid w:val="00531FB0"/>
    <w:rsid w:val="00533632"/>
    <w:rsid w:val="00534013"/>
    <w:rsid w:val="00540C5C"/>
    <w:rsid w:val="005415D3"/>
    <w:rsid w:val="00541666"/>
    <w:rsid w:val="00541E6E"/>
    <w:rsid w:val="00542252"/>
    <w:rsid w:val="0054251F"/>
    <w:rsid w:val="00543DA2"/>
    <w:rsid w:val="00550234"/>
    <w:rsid w:val="00550423"/>
    <w:rsid w:val="00550AA4"/>
    <w:rsid w:val="00551392"/>
    <w:rsid w:val="005520D8"/>
    <w:rsid w:val="005520F3"/>
    <w:rsid w:val="00555CFB"/>
    <w:rsid w:val="00556A9E"/>
    <w:rsid w:val="00556CF1"/>
    <w:rsid w:val="00556DCC"/>
    <w:rsid w:val="0057109D"/>
    <w:rsid w:val="0057289C"/>
    <w:rsid w:val="0057332C"/>
    <w:rsid w:val="00573991"/>
    <w:rsid w:val="00573BEA"/>
    <w:rsid w:val="005762A7"/>
    <w:rsid w:val="00576EE6"/>
    <w:rsid w:val="00583CA6"/>
    <w:rsid w:val="0058463C"/>
    <w:rsid w:val="00587CEE"/>
    <w:rsid w:val="00590015"/>
    <w:rsid w:val="005916D7"/>
    <w:rsid w:val="00593C33"/>
    <w:rsid w:val="0059427F"/>
    <w:rsid w:val="0059603E"/>
    <w:rsid w:val="0059780C"/>
    <w:rsid w:val="005A0E54"/>
    <w:rsid w:val="005A4E00"/>
    <w:rsid w:val="005A698C"/>
    <w:rsid w:val="005A736D"/>
    <w:rsid w:val="005B06F3"/>
    <w:rsid w:val="005B0C0D"/>
    <w:rsid w:val="005B1F61"/>
    <w:rsid w:val="005B26E9"/>
    <w:rsid w:val="005B538E"/>
    <w:rsid w:val="005B5488"/>
    <w:rsid w:val="005B5788"/>
    <w:rsid w:val="005B5820"/>
    <w:rsid w:val="005C0CAC"/>
    <w:rsid w:val="005C1525"/>
    <w:rsid w:val="005D062E"/>
    <w:rsid w:val="005D121F"/>
    <w:rsid w:val="005D1394"/>
    <w:rsid w:val="005D1A32"/>
    <w:rsid w:val="005D3838"/>
    <w:rsid w:val="005D3C7C"/>
    <w:rsid w:val="005D6955"/>
    <w:rsid w:val="005E0799"/>
    <w:rsid w:val="005E10F9"/>
    <w:rsid w:val="005E1200"/>
    <w:rsid w:val="005E1389"/>
    <w:rsid w:val="005E2CC7"/>
    <w:rsid w:val="005E40D1"/>
    <w:rsid w:val="005E68A5"/>
    <w:rsid w:val="005E793B"/>
    <w:rsid w:val="005F45EE"/>
    <w:rsid w:val="005F4A8B"/>
    <w:rsid w:val="005F5A80"/>
    <w:rsid w:val="0060035B"/>
    <w:rsid w:val="006044FF"/>
    <w:rsid w:val="00607CC5"/>
    <w:rsid w:val="0061179B"/>
    <w:rsid w:val="006125F9"/>
    <w:rsid w:val="00622CD3"/>
    <w:rsid w:val="006243F5"/>
    <w:rsid w:val="00624DA1"/>
    <w:rsid w:val="006254CD"/>
    <w:rsid w:val="00627887"/>
    <w:rsid w:val="00633014"/>
    <w:rsid w:val="0063437B"/>
    <w:rsid w:val="0063617A"/>
    <w:rsid w:val="00636E2C"/>
    <w:rsid w:val="0064017E"/>
    <w:rsid w:val="00643272"/>
    <w:rsid w:val="00645703"/>
    <w:rsid w:val="00647B5C"/>
    <w:rsid w:val="00650CA3"/>
    <w:rsid w:val="006523BA"/>
    <w:rsid w:val="0065267F"/>
    <w:rsid w:val="006530C5"/>
    <w:rsid w:val="006542E8"/>
    <w:rsid w:val="00654BB6"/>
    <w:rsid w:val="00664FFB"/>
    <w:rsid w:val="00666100"/>
    <w:rsid w:val="006673CA"/>
    <w:rsid w:val="0066751D"/>
    <w:rsid w:val="00667B3D"/>
    <w:rsid w:val="00670C24"/>
    <w:rsid w:val="00671156"/>
    <w:rsid w:val="00671802"/>
    <w:rsid w:val="00673C26"/>
    <w:rsid w:val="00674DE5"/>
    <w:rsid w:val="006764FF"/>
    <w:rsid w:val="00677631"/>
    <w:rsid w:val="00677ACA"/>
    <w:rsid w:val="006812AF"/>
    <w:rsid w:val="0068327D"/>
    <w:rsid w:val="00687523"/>
    <w:rsid w:val="00691534"/>
    <w:rsid w:val="0069194C"/>
    <w:rsid w:val="0069276C"/>
    <w:rsid w:val="00693880"/>
    <w:rsid w:val="00693D2B"/>
    <w:rsid w:val="00694493"/>
    <w:rsid w:val="00694AF0"/>
    <w:rsid w:val="0069552C"/>
    <w:rsid w:val="00695A5C"/>
    <w:rsid w:val="006A2932"/>
    <w:rsid w:val="006A4686"/>
    <w:rsid w:val="006A472D"/>
    <w:rsid w:val="006A53B2"/>
    <w:rsid w:val="006A5DC0"/>
    <w:rsid w:val="006B0E9E"/>
    <w:rsid w:val="006B486D"/>
    <w:rsid w:val="006B5AE4"/>
    <w:rsid w:val="006B5B9D"/>
    <w:rsid w:val="006C10E2"/>
    <w:rsid w:val="006C1B76"/>
    <w:rsid w:val="006C25AA"/>
    <w:rsid w:val="006D1507"/>
    <w:rsid w:val="006D167E"/>
    <w:rsid w:val="006D4054"/>
    <w:rsid w:val="006D4224"/>
    <w:rsid w:val="006D74F0"/>
    <w:rsid w:val="006E02EC"/>
    <w:rsid w:val="006E1229"/>
    <w:rsid w:val="006E3371"/>
    <w:rsid w:val="006E3C4F"/>
    <w:rsid w:val="006E5DA5"/>
    <w:rsid w:val="006E6F41"/>
    <w:rsid w:val="006E73E6"/>
    <w:rsid w:val="006E7FC8"/>
    <w:rsid w:val="006F0F11"/>
    <w:rsid w:val="006F1F24"/>
    <w:rsid w:val="006F72B9"/>
    <w:rsid w:val="006F7BE1"/>
    <w:rsid w:val="00701680"/>
    <w:rsid w:val="0070216F"/>
    <w:rsid w:val="00703376"/>
    <w:rsid w:val="00705A38"/>
    <w:rsid w:val="00705D19"/>
    <w:rsid w:val="007108D3"/>
    <w:rsid w:val="00710F28"/>
    <w:rsid w:val="00717AED"/>
    <w:rsid w:val="00720B05"/>
    <w:rsid w:val="007211B1"/>
    <w:rsid w:val="00721FBB"/>
    <w:rsid w:val="0072379F"/>
    <w:rsid w:val="00727559"/>
    <w:rsid w:val="007277DA"/>
    <w:rsid w:val="00730795"/>
    <w:rsid w:val="00731210"/>
    <w:rsid w:val="00731BEB"/>
    <w:rsid w:val="00731D27"/>
    <w:rsid w:val="007346B2"/>
    <w:rsid w:val="007424B6"/>
    <w:rsid w:val="00743792"/>
    <w:rsid w:val="007440C6"/>
    <w:rsid w:val="00746187"/>
    <w:rsid w:val="00746814"/>
    <w:rsid w:val="00746B84"/>
    <w:rsid w:val="007500BD"/>
    <w:rsid w:val="00750AB8"/>
    <w:rsid w:val="00751277"/>
    <w:rsid w:val="00755481"/>
    <w:rsid w:val="0076254F"/>
    <w:rsid w:val="00762EB0"/>
    <w:rsid w:val="0076383B"/>
    <w:rsid w:val="00766EE4"/>
    <w:rsid w:val="0077121F"/>
    <w:rsid w:val="00772293"/>
    <w:rsid w:val="0077282A"/>
    <w:rsid w:val="0077314A"/>
    <w:rsid w:val="00774668"/>
    <w:rsid w:val="007756CB"/>
    <w:rsid w:val="007762FA"/>
    <w:rsid w:val="007801F5"/>
    <w:rsid w:val="00782147"/>
    <w:rsid w:val="007825A5"/>
    <w:rsid w:val="00783A20"/>
    <w:rsid w:val="00783CA4"/>
    <w:rsid w:val="007842FB"/>
    <w:rsid w:val="00784CEF"/>
    <w:rsid w:val="00785608"/>
    <w:rsid w:val="00786124"/>
    <w:rsid w:val="00792546"/>
    <w:rsid w:val="0079514B"/>
    <w:rsid w:val="00795252"/>
    <w:rsid w:val="007961CA"/>
    <w:rsid w:val="00797434"/>
    <w:rsid w:val="007A2DC1"/>
    <w:rsid w:val="007A6717"/>
    <w:rsid w:val="007A6932"/>
    <w:rsid w:val="007B49E9"/>
    <w:rsid w:val="007B6A4B"/>
    <w:rsid w:val="007C0389"/>
    <w:rsid w:val="007D05A1"/>
    <w:rsid w:val="007D0869"/>
    <w:rsid w:val="007D14C4"/>
    <w:rsid w:val="007D1899"/>
    <w:rsid w:val="007D3319"/>
    <w:rsid w:val="007D335D"/>
    <w:rsid w:val="007D605C"/>
    <w:rsid w:val="007E00CB"/>
    <w:rsid w:val="007E03F6"/>
    <w:rsid w:val="007E3314"/>
    <w:rsid w:val="007E3514"/>
    <w:rsid w:val="007E4B03"/>
    <w:rsid w:val="007E59A0"/>
    <w:rsid w:val="007E6F11"/>
    <w:rsid w:val="007F0108"/>
    <w:rsid w:val="007F14B1"/>
    <w:rsid w:val="007F2BC9"/>
    <w:rsid w:val="007F324B"/>
    <w:rsid w:val="007F569E"/>
    <w:rsid w:val="007F5B1E"/>
    <w:rsid w:val="00800827"/>
    <w:rsid w:val="008041A5"/>
    <w:rsid w:val="00805072"/>
    <w:rsid w:val="0080553C"/>
    <w:rsid w:val="00805B46"/>
    <w:rsid w:val="00805DB4"/>
    <w:rsid w:val="008077CE"/>
    <w:rsid w:val="00810599"/>
    <w:rsid w:val="008170A6"/>
    <w:rsid w:val="00817DDF"/>
    <w:rsid w:val="00821B53"/>
    <w:rsid w:val="00822E90"/>
    <w:rsid w:val="00823593"/>
    <w:rsid w:val="00825DC2"/>
    <w:rsid w:val="00826205"/>
    <w:rsid w:val="00834AD3"/>
    <w:rsid w:val="0083692E"/>
    <w:rsid w:val="00843795"/>
    <w:rsid w:val="00843F2E"/>
    <w:rsid w:val="00844717"/>
    <w:rsid w:val="00845C50"/>
    <w:rsid w:val="00846E76"/>
    <w:rsid w:val="00847F0F"/>
    <w:rsid w:val="00850FAD"/>
    <w:rsid w:val="00851428"/>
    <w:rsid w:val="00852448"/>
    <w:rsid w:val="00863791"/>
    <w:rsid w:val="008641DA"/>
    <w:rsid w:val="00864EB1"/>
    <w:rsid w:val="00865F5F"/>
    <w:rsid w:val="00870FA8"/>
    <w:rsid w:val="008729F7"/>
    <w:rsid w:val="00873E14"/>
    <w:rsid w:val="00877F6C"/>
    <w:rsid w:val="0088258A"/>
    <w:rsid w:val="008839F7"/>
    <w:rsid w:val="00883DBF"/>
    <w:rsid w:val="00886332"/>
    <w:rsid w:val="008867DC"/>
    <w:rsid w:val="00887A8A"/>
    <w:rsid w:val="008911E2"/>
    <w:rsid w:val="008925F0"/>
    <w:rsid w:val="00893E27"/>
    <w:rsid w:val="0089448A"/>
    <w:rsid w:val="00896D9D"/>
    <w:rsid w:val="00897115"/>
    <w:rsid w:val="00897877"/>
    <w:rsid w:val="00897922"/>
    <w:rsid w:val="008A26D9"/>
    <w:rsid w:val="008A47B0"/>
    <w:rsid w:val="008A4B6E"/>
    <w:rsid w:val="008A5C1E"/>
    <w:rsid w:val="008A7B5B"/>
    <w:rsid w:val="008B12D2"/>
    <w:rsid w:val="008B71F1"/>
    <w:rsid w:val="008C0C29"/>
    <w:rsid w:val="008C682B"/>
    <w:rsid w:val="008C77F9"/>
    <w:rsid w:val="008C7F39"/>
    <w:rsid w:val="008D02DA"/>
    <w:rsid w:val="008D6BC2"/>
    <w:rsid w:val="008D754D"/>
    <w:rsid w:val="008D76BC"/>
    <w:rsid w:val="008D79B2"/>
    <w:rsid w:val="008E0411"/>
    <w:rsid w:val="008E3275"/>
    <w:rsid w:val="008E7DBA"/>
    <w:rsid w:val="008F0829"/>
    <w:rsid w:val="008F3638"/>
    <w:rsid w:val="008F385A"/>
    <w:rsid w:val="008F4441"/>
    <w:rsid w:val="008F67D8"/>
    <w:rsid w:val="008F695A"/>
    <w:rsid w:val="008F6B20"/>
    <w:rsid w:val="008F6F31"/>
    <w:rsid w:val="008F74DF"/>
    <w:rsid w:val="00902274"/>
    <w:rsid w:val="00904347"/>
    <w:rsid w:val="00905935"/>
    <w:rsid w:val="009061D9"/>
    <w:rsid w:val="0090684A"/>
    <w:rsid w:val="00906E52"/>
    <w:rsid w:val="009104D4"/>
    <w:rsid w:val="00911ACF"/>
    <w:rsid w:val="009127BA"/>
    <w:rsid w:val="009147B3"/>
    <w:rsid w:val="00916135"/>
    <w:rsid w:val="00920436"/>
    <w:rsid w:val="00920AAE"/>
    <w:rsid w:val="009227A6"/>
    <w:rsid w:val="00927009"/>
    <w:rsid w:val="00933EC1"/>
    <w:rsid w:val="00936BD2"/>
    <w:rsid w:val="00936CE3"/>
    <w:rsid w:val="009408B9"/>
    <w:rsid w:val="00940AE5"/>
    <w:rsid w:val="00941517"/>
    <w:rsid w:val="009425C0"/>
    <w:rsid w:val="009446AD"/>
    <w:rsid w:val="0094749C"/>
    <w:rsid w:val="009476CC"/>
    <w:rsid w:val="00950C92"/>
    <w:rsid w:val="0095206E"/>
    <w:rsid w:val="009530DB"/>
    <w:rsid w:val="00953676"/>
    <w:rsid w:val="00956B1E"/>
    <w:rsid w:val="00956F30"/>
    <w:rsid w:val="009611B4"/>
    <w:rsid w:val="00966C9A"/>
    <w:rsid w:val="009705EE"/>
    <w:rsid w:val="009722FC"/>
    <w:rsid w:val="00974A54"/>
    <w:rsid w:val="00974D29"/>
    <w:rsid w:val="00977927"/>
    <w:rsid w:val="0098135C"/>
    <w:rsid w:val="0098156A"/>
    <w:rsid w:val="009826E4"/>
    <w:rsid w:val="0098398B"/>
    <w:rsid w:val="00984157"/>
    <w:rsid w:val="009859B9"/>
    <w:rsid w:val="00986D3C"/>
    <w:rsid w:val="009873E1"/>
    <w:rsid w:val="00991A48"/>
    <w:rsid w:val="00991BAC"/>
    <w:rsid w:val="009929A0"/>
    <w:rsid w:val="00993775"/>
    <w:rsid w:val="00993E20"/>
    <w:rsid w:val="009A0B98"/>
    <w:rsid w:val="009A0EB0"/>
    <w:rsid w:val="009A26B9"/>
    <w:rsid w:val="009A68CA"/>
    <w:rsid w:val="009A6EA0"/>
    <w:rsid w:val="009B155D"/>
    <w:rsid w:val="009B1972"/>
    <w:rsid w:val="009B566C"/>
    <w:rsid w:val="009B731F"/>
    <w:rsid w:val="009C12A7"/>
    <w:rsid w:val="009C1335"/>
    <w:rsid w:val="009C1AB2"/>
    <w:rsid w:val="009C7251"/>
    <w:rsid w:val="009D2E40"/>
    <w:rsid w:val="009D466C"/>
    <w:rsid w:val="009D76B6"/>
    <w:rsid w:val="009E0D43"/>
    <w:rsid w:val="009E25E1"/>
    <w:rsid w:val="009E2E91"/>
    <w:rsid w:val="009F071E"/>
    <w:rsid w:val="00A00B33"/>
    <w:rsid w:val="00A01B40"/>
    <w:rsid w:val="00A040CB"/>
    <w:rsid w:val="00A05677"/>
    <w:rsid w:val="00A0703F"/>
    <w:rsid w:val="00A10BA5"/>
    <w:rsid w:val="00A139F5"/>
    <w:rsid w:val="00A14146"/>
    <w:rsid w:val="00A16133"/>
    <w:rsid w:val="00A1700A"/>
    <w:rsid w:val="00A177DA"/>
    <w:rsid w:val="00A17BA4"/>
    <w:rsid w:val="00A17F3F"/>
    <w:rsid w:val="00A23CC1"/>
    <w:rsid w:val="00A24A85"/>
    <w:rsid w:val="00A2668F"/>
    <w:rsid w:val="00A2736A"/>
    <w:rsid w:val="00A306AD"/>
    <w:rsid w:val="00A32B36"/>
    <w:rsid w:val="00A32E16"/>
    <w:rsid w:val="00A3352D"/>
    <w:rsid w:val="00A3412D"/>
    <w:rsid w:val="00A3528D"/>
    <w:rsid w:val="00A365F4"/>
    <w:rsid w:val="00A36FCB"/>
    <w:rsid w:val="00A41DCB"/>
    <w:rsid w:val="00A44B8F"/>
    <w:rsid w:val="00A47D80"/>
    <w:rsid w:val="00A47F5A"/>
    <w:rsid w:val="00A52B4E"/>
    <w:rsid w:val="00A53132"/>
    <w:rsid w:val="00A532DA"/>
    <w:rsid w:val="00A563F2"/>
    <w:rsid w:val="00A566E8"/>
    <w:rsid w:val="00A56D33"/>
    <w:rsid w:val="00A61856"/>
    <w:rsid w:val="00A61E4F"/>
    <w:rsid w:val="00A628CB"/>
    <w:rsid w:val="00A62D30"/>
    <w:rsid w:val="00A660B4"/>
    <w:rsid w:val="00A66347"/>
    <w:rsid w:val="00A710B1"/>
    <w:rsid w:val="00A73F73"/>
    <w:rsid w:val="00A810F9"/>
    <w:rsid w:val="00A82D31"/>
    <w:rsid w:val="00A82EED"/>
    <w:rsid w:val="00A841D5"/>
    <w:rsid w:val="00A85E7E"/>
    <w:rsid w:val="00A86ECC"/>
    <w:rsid w:val="00A86FCC"/>
    <w:rsid w:val="00A90A6D"/>
    <w:rsid w:val="00A910B5"/>
    <w:rsid w:val="00A94953"/>
    <w:rsid w:val="00A971E5"/>
    <w:rsid w:val="00AA0698"/>
    <w:rsid w:val="00AA710D"/>
    <w:rsid w:val="00AB5FC7"/>
    <w:rsid w:val="00AB64F3"/>
    <w:rsid w:val="00AB6D25"/>
    <w:rsid w:val="00AC0DF2"/>
    <w:rsid w:val="00AC3ECE"/>
    <w:rsid w:val="00AD062C"/>
    <w:rsid w:val="00AD086E"/>
    <w:rsid w:val="00AD0C58"/>
    <w:rsid w:val="00AD0E56"/>
    <w:rsid w:val="00AD1704"/>
    <w:rsid w:val="00AD7641"/>
    <w:rsid w:val="00AD7D81"/>
    <w:rsid w:val="00AE02E2"/>
    <w:rsid w:val="00AE229B"/>
    <w:rsid w:val="00AE2D4B"/>
    <w:rsid w:val="00AE4F99"/>
    <w:rsid w:val="00AF1E52"/>
    <w:rsid w:val="00AF499E"/>
    <w:rsid w:val="00B00E71"/>
    <w:rsid w:val="00B01F63"/>
    <w:rsid w:val="00B06F75"/>
    <w:rsid w:val="00B07FB5"/>
    <w:rsid w:val="00B11B69"/>
    <w:rsid w:val="00B13878"/>
    <w:rsid w:val="00B13BAC"/>
    <w:rsid w:val="00B1432B"/>
    <w:rsid w:val="00B14952"/>
    <w:rsid w:val="00B14FBA"/>
    <w:rsid w:val="00B151CA"/>
    <w:rsid w:val="00B1652A"/>
    <w:rsid w:val="00B16871"/>
    <w:rsid w:val="00B23582"/>
    <w:rsid w:val="00B254EB"/>
    <w:rsid w:val="00B25B45"/>
    <w:rsid w:val="00B267FF"/>
    <w:rsid w:val="00B30564"/>
    <w:rsid w:val="00B31DB9"/>
    <w:rsid w:val="00B31E5A"/>
    <w:rsid w:val="00B35453"/>
    <w:rsid w:val="00B4408B"/>
    <w:rsid w:val="00B45F13"/>
    <w:rsid w:val="00B465D8"/>
    <w:rsid w:val="00B46CBE"/>
    <w:rsid w:val="00B47359"/>
    <w:rsid w:val="00B579AB"/>
    <w:rsid w:val="00B6028F"/>
    <w:rsid w:val="00B62D0B"/>
    <w:rsid w:val="00B653AB"/>
    <w:rsid w:val="00B65F9E"/>
    <w:rsid w:val="00B6639B"/>
    <w:rsid w:val="00B66B19"/>
    <w:rsid w:val="00B67F00"/>
    <w:rsid w:val="00B77D57"/>
    <w:rsid w:val="00B81C8F"/>
    <w:rsid w:val="00B8473F"/>
    <w:rsid w:val="00B872AC"/>
    <w:rsid w:val="00B914E9"/>
    <w:rsid w:val="00B916F1"/>
    <w:rsid w:val="00B92C97"/>
    <w:rsid w:val="00B956EE"/>
    <w:rsid w:val="00B95BE9"/>
    <w:rsid w:val="00B96ED8"/>
    <w:rsid w:val="00B97AAF"/>
    <w:rsid w:val="00B97F31"/>
    <w:rsid w:val="00BA2BA1"/>
    <w:rsid w:val="00BA2BA7"/>
    <w:rsid w:val="00BA3447"/>
    <w:rsid w:val="00BA3562"/>
    <w:rsid w:val="00BA5A74"/>
    <w:rsid w:val="00BB02B7"/>
    <w:rsid w:val="00BB0BDB"/>
    <w:rsid w:val="00BB4793"/>
    <w:rsid w:val="00BB4F09"/>
    <w:rsid w:val="00BB5A13"/>
    <w:rsid w:val="00BC0EDF"/>
    <w:rsid w:val="00BC12E2"/>
    <w:rsid w:val="00BC2D48"/>
    <w:rsid w:val="00BC36E6"/>
    <w:rsid w:val="00BC66BD"/>
    <w:rsid w:val="00BD4E33"/>
    <w:rsid w:val="00BE077B"/>
    <w:rsid w:val="00BE2813"/>
    <w:rsid w:val="00BE383F"/>
    <w:rsid w:val="00BE7F14"/>
    <w:rsid w:val="00BF1D5B"/>
    <w:rsid w:val="00BF1E2A"/>
    <w:rsid w:val="00BF27FA"/>
    <w:rsid w:val="00BF2E69"/>
    <w:rsid w:val="00BF2F72"/>
    <w:rsid w:val="00BF402D"/>
    <w:rsid w:val="00BF4AA9"/>
    <w:rsid w:val="00BF768F"/>
    <w:rsid w:val="00C00A98"/>
    <w:rsid w:val="00C013B9"/>
    <w:rsid w:val="00C030DE"/>
    <w:rsid w:val="00C051A8"/>
    <w:rsid w:val="00C10B32"/>
    <w:rsid w:val="00C10C66"/>
    <w:rsid w:val="00C14F50"/>
    <w:rsid w:val="00C15327"/>
    <w:rsid w:val="00C1689D"/>
    <w:rsid w:val="00C20615"/>
    <w:rsid w:val="00C21F58"/>
    <w:rsid w:val="00C22105"/>
    <w:rsid w:val="00C244B6"/>
    <w:rsid w:val="00C247E0"/>
    <w:rsid w:val="00C24B22"/>
    <w:rsid w:val="00C27248"/>
    <w:rsid w:val="00C27BF1"/>
    <w:rsid w:val="00C307AB"/>
    <w:rsid w:val="00C32E34"/>
    <w:rsid w:val="00C34FFB"/>
    <w:rsid w:val="00C35801"/>
    <w:rsid w:val="00C35E76"/>
    <w:rsid w:val="00C36C83"/>
    <w:rsid w:val="00C3702F"/>
    <w:rsid w:val="00C4379C"/>
    <w:rsid w:val="00C4500A"/>
    <w:rsid w:val="00C50128"/>
    <w:rsid w:val="00C52FFC"/>
    <w:rsid w:val="00C56B13"/>
    <w:rsid w:val="00C60363"/>
    <w:rsid w:val="00C60C18"/>
    <w:rsid w:val="00C60F60"/>
    <w:rsid w:val="00C62238"/>
    <w:rsid w:val="00C64A37"/>
    <w:rsid w:val="00C70F38"/>
    <w:rsid w:val="00C7158E"/>
    <w:rsid w:val="00C7250B"/>
    <w:rsid w:val="00C72EF8"/>
    <w:rsid w:val="00C72FE2"/>
    <w:rsid w:val="00C7346B"/>
    <w:rsid w:val="00C750AB"/>
    <w:rsid w:val="00C76710"/>
    <w:rsid w:val="00C77C0E"/>
    <w:rsid w:val="00C77E23"/>
    <w:rsid w:val="00C83715"/>
    <w:rsid w:val="00C845E3"/>
    <w:rsid w:val="00C91687"/>
    <w:rsid w:val="00C924A8"/>
    <w:rsid w:val="00C945FE"/>
    <w:rsid w:val="00C96FAA"/>
    <w:rsid w:val="00C97A04"/>
    <w:rsid w:val="00CA09BB"/>
    <w:rsid w:val="00CA1065"/>
    <w:rsid w:val="00CA107B"/>
    <w:rsid w:val="00CA300E"/>
    <w:rsid w:val="00CA37FA"/>
    <w:rsid w:val="00CA484D"/>
    <w:rsid w:val="00CA4BEC"/>
    <w:rsid w:val="00CA4FB6"/>
    <w:rsid w:val="00CB1E65"/>
    <w:rsid w:val="00CB23CF"/>
    <w:rsid w:val="00CB2CEB"/>
    <w:rsid w:val="00CB2F90"/>
    <w:rsid w:val="00CB30FC"/>
    <w:rsid w:val="00CB490A"/>
    <w:rsid w:val="00CB689D"/>
    <w:rsid w:val="00CB6975"/>
    <w:rsid w:val="00CB6AD4"/>
    <w:rsid w:val="00CC0A00"/>
    <w:rsid w:val="00CC0FE6"/>
    <w:rsid w:val="00CC1CB1"/>
    <w:rsid w:val="00CC4420"/>
    <w:rsid w:val="00CC4EBB"/>
    <w:rsid w:val="00CC635A"/>
    <w:rsid w:val="00CC739E"/>
    <w:rsid w:val="00CC73D2"/>
    <w:rsid w:val="00CD0C94"/>
    <w:rsid w:val="00CD1EBB"/>
    <w:rsid w:val="00CD2410"/>
    <w:rsid w:val="00CD28CF"/>
    <w:rsid w:val="00CD402E"/>
    <w:rsid w:val="00CD58B7"/>
    <w:rsid w:val="00CD7967"/>
    <w:rsid w:val="00CE04FB"/>
    <w:rsid w:val="00CE4B64"/>
    <w:rsid w:val="00CE57B4"/>
    <w:rsid w:val="00CE59A9"/>
    <w:rsid w:val="00CF076D"/>
    <w:rsid w:val="00CF0D68"/>
    <w:rsid w:val="00CF111C"/>
    <w:rsid w:val="00CF18EE"/>
    <w:rsid w:val="00CF278D"/>
    <w:rsid w:val="00CF30BD"/>
    <w:rsid w:val="00CF4099"/>
    <w:rsid w:val="00CF4B37"/>
    <w:rsid w:val="00CF5EBF"/>
    <w:rsid w:val="00D00796"/>
    <w:rsid w:val="00D01013"/>
    <w:rsid w:val="00D02342"/>
    <w:rsid w:val="00D0314E"/>
    <w:rsid w:val="00D04A10"/>
    <w:rsid w:val="00D10688"/>
    <w:rsid w:val="00D11050"/>
    <w:rsid w:val="00D1265D"/>
    <w:rsid w:val="00D15D1B"/>
    <w:rsid w:val="00D243CE"/>
    <w:rsid w:val="00D24B05"/>
    <w:rsid w:val="00D261A2"/>
    <w:rsid w:val="00D262A8"/>
    <w:rsid w:val="00D2709F"/>
    <w:rsid w:val="00D2742F"/>
    <w:rsid w:val="00D30000"/>
    <w:rsid w:val="00D307AD"/>
    <w:rsid w:val="00D30ADE"/>
    <w:rsid w:val="00D31400"/>
    <w:rsid w:val="00D3203A"/>
    <w:rsid w:val="00D37073"/>
    <w:rsid w:val="00D40538"/>
    <w:rsid w:val="00D43306"/>
    <w:rsid w:val="00D45393"/>
    <w:rsid w:val="00D61557"/>
    <w:rsid w:val="00D616D2"/>
    <w:rsid w:val="00D6351C"/>
    <w:rsid w:val="00D63B5F"/>
    <w:rsid w:val="00D652C1"/>
    <w:rsid w:val="00D66006"/>
    <w:rsid w:val="00D70EF7"/>
    <w:rsid w:val="00D71810"/>
    <w:rsid w:val="00D75BFC"/>
    <w:rsid w:val="00D762A5"/>
    <w:rsid w:val="00D76F96"/>
    <w:rsid w:val="00D80AAB"/>
    <w:rsid w:val="00D82888"/>
    <w:rsid w:val="00D8397C"/>
    <w:rsid w:val="00D9287C"/>
    <w:rsid w:val="00D94EED"/>
    <w:rsid w:val="00D96026"/>
    <w:rsid w:val="00D972F6"/>
    <w:rsid w:val="00D97E1E"/>
    <w:rsid w:val="00DA331D"/>
    <w:rsid w:val="00DA3C88"/>
    <w:rsid w:val="00DA7C1C"/>
    <w:rsid w:val="00DB0536"/>
    <w:rsid w:val="00DB147A"/>
    <w:rsid w:val="00DB1B7A"/>
    <w:rsid w:val="00DB3752"/>
    <w:rsid w:val="00DB3788"/>
    <w:rsid w:val="00DB3817"/>
    <w:rsid w:val="00DB5F7D"/>
    <w:rsid w:val="00DB706E"/>
    <w:rsid w:val="00DC6708"/>
    <w:rsid w:val="00DC7DCB"/>
    <w:rsid w:val="00DD011A"/>
    <w:rsid w:val="00DD109F"/>
    <w:rsid w:val="00DD21BA"/>
    <w:rsid w:val="00DD382C"/>
    <w:rsid w:val="00DD62BE"/>
    <w:rsid w:val="00DE2400"/>
    <w:rsid w:val="00DE58F1"/>
    <w:rsid w:val="00DE6B58"/>
    <w:rsid w:val="00DF0BAD"/>
    <w:rsid w:val="00DF42C0"/>
    <w:rsid w:val="00DF587A"/>
    <w:rsid w:val="00DF5D38"/>
    <w:rsid w:val="00DF5E32"/>
    <w:rsid w:val="00DF708F"/>
    <w:rsid w:val="00DF7BB9"/>
    <w:rsid w:val="00E01436"/>
    <w:rsid w:val="00E027F0"/>
    <w:rsid w:val="00E02F90"/>
    <w:rsid w:val="00E03E79"/>
    <w:rsid w:val="00E045BD"/>
    <w:rsid w:val="00E04D6C"/>
    <w:rsid w:val="00E10347"/>
    <w:rsid w:val="00E114AE"/>
    <w:rsid w:val="00E17B77"/>
    <w:rsid w:val="00E231AB"/>
    <w:rsid w:val="00E23337"/>
    <w:rsid w:val="00E245B1"/>
    <w:rsid w:val="00E2471E"/>
    <w:rsid w:val="00E259EA"/>
    <w:rsid w:val="00E25D33"/>
    <w:rsid w:val="00E2641A"/>
    <w:rsid w:val="00E315B9"/>
    <w:rsid w:val="00E32061"/>
    <w:rsid w:val="00E33F48"/>
    <w:rsid w:val="00E33F66"/>
    <w:rsid w:val="00E34B20"/>
    <w:rsid w:val="00E40A56"/>
    <w:rsid w:val="00E4286D"/>
    <w:rsid w:val="00E42FF9"/>
    <w:rsid w:val="00E44790"/>
    <w:rsid w:val="00E4714C"/>
    <w:rsid w:val="00E5178D"/>
    <w:rsid w:val="00E51AEB"/>
    <w:rsid w:val="00E522A7"/>
    <w:rsid w:val="00E52651"/>
    <w:rsid w:val="00E5349E"/>
    <w:rsid w:val="00E54452"/>
    <w:rsid w:val="00E55166"/>
    <w:rsid w:val="00E56776"/>
    <w:rsid w:val="00E572D9"/>
    <w:rsid w:val="00E60425"/>
    <w:rsid w:val="00E60642"/>
    <w:rsid w:val="00E610C8"/>
    <w:rsid w:val="00E61970"/>
    <w:rsid w:val="00E61E56"/>
    <w:rsid w:val="00E63B0C"/>
    <w:rsid w:val="00E664C5"/>
    <w:rsid w:val="00E671A2"/>
    <w:rsid w:val="00E70F8F"/>
    <w:rsid w:val="00E76D26"/>
    <w:rsid w:val="00E76EE5"/>
    <w:rsid w:val="00E84813"/>
    <w:rsid w:val="00E8524C"/>
    <w:rsid w:val="00E93DB8"/>
    <w:rsid w:val="00E948B2"/>
    <w:rsid w:val="00E953FE"/>
    <w:rsid w:val="00E95B8E"/>
    <w:rsid w:val="00E96919"/>
    <w:rsid w:val="00E96E0C"/>
    <w:rsid w:val="00EA016D"/>
    <w:rsid w:val="00EA3CB1"/>
    <w:rsid w:val="00EB0537"/>
    <w:rsid w:val="00EB11FA"/>
    <w:rsid w:val="00EB1390"/>
    <w:rsid w:val="00EB2C71"/>
    <w:rsid w:val="00EB2E72"/>
    <w:rsid w:val="00EB3333"/>
    <w:rsid w:val="00EB4340"/>
    <w:rsid w:val="00EB4E44"/>
    <w:rsid w:val="00EB4F67"/>
    <w:rsid w:val="00EB556D"/>
    <w:rsid w:val="00EB5A7D"/>
    <w:rsid w:val="00EB6BB4"/>
    <w:rsid w:val="00EC2817"/>
    <w:rsid w:val="00EC4647"/>
    <w:rsid w:val="00EC512C"/>
    <w:rsid w:val="00EC73D3"/>
    <w:rsid w:val="00ED460F"/>
    <w:rsid w:val="00ED55C0"/>
    <w:rsid w:val="00ED5DBC"/>
    <w:rsid w:val="00ED682B"/>
    <w:rsid w:val="00EE41D5"/>
    <w:rsid w:val="00EE4563"/>
    <w:rsid w:val="00EE6F8E"/>
    <w:rsid w:val="00EE7592"/>
    <w:rsid w:val="00EE79FF"/>
    <w:rsid w:val="00EF1488"/>
    <w:rsid w:val="00EF4291"/>
    <w:rsid w:val="00F00172"/>
    <w:rsid w:val="00F0166F"/>
    <w:rsid w:val="00F031DF"/>
    <w:rsid w:val="00F037A4"/>
    <w:rsid w:val="00F049AB"/>
    <w:rsid w:val="00F07A42"/>
    <w:rsid w:val="00F107D9"/>
    <w:rsid w:val="00F10AD7"/>
    <w:rsid w:val="00F13AEF"/>
    <w:rsid w:val="00F142DB"/>
    <w:rsid w:val="00F145A8"/>
    <w:rsid w:val="00F15EA6"/>
    <w:rsid w:val="00F16054"/>
    <w:rsid w:val="00F16692"/>
    <w:rsid w:val="00F223F0"/>
    <w:rsid w:val="00F243A7"/>
    <w:rsid w:val="00F24AFD"/>
    <w:rsid w:val="00F24B16"/>
    <w:rsid w:val="00F2640F"/>
    <w:rsid w:val="00F27C8F"/>
    <w:rsid w:val="00F27EAD"/>
    <w:rsid w:val="00F27FDC"/>
    <w:rsid w:val="00F32742"/>
    <w:rsid w:val="00F32749"/>
    <w:rsid w:val="00F33074"/>
    <w:rsid w:val="00F3358C"/>
    <w:rsid w:val="00F33B9E"/>
    <w:rsid w:val="00F37172"/>
    <w:rsid w:val="00F403A0"/>
    <w:rsid w:val="00F430D1"/>
    <w:rsid w:val="00F4359C"/>
    <w:rsid w:val="00F435E5"/>
    <w:rsid w:val="00F4477E"/>
    <w:rsid w:val="00F46269"/>
    <w:rsid w:val="00F46E9C"/>
    <w:rsid w:val="00F47FF9"/>
    <w:rsid w:val="00F526E6"/>
    <w:rsid w:val="00F56F3E"/>
    <w:rsid w:val="00F60BA8"/>
    <w:rsid w:val="00F619F2"/>
    <w:rsid w:val="00F62E3D"/>
    <w:rsid w:val="00F63267"/>
    <w:rsid w:val="00F64988"/>
    <w:rsid w:val="00F654F7"/>
    <w:rsid w:val="00F66222"/>
    <w:rsid w:val="00F66E32"/>
    <w:rsid w:val="00F67D8F"/>
    <w:rsid w:val="00F70AB2"/>
    <w:rsid w:val="00F71EF0"/>
    <w:rsid w:val="00F72040"/>
    <w:rsid w:val="00F72306"/>
    <w:rsid w:val="00F740EB"/>
    <w:rsid w:val="00F74F10"/>
    <w:rsid w:val="00F802BE"/>
    <w:rsid w:val="00F80E93"/>
    <w:rsid w:val="00F80F5A"/>
    <w:rsid w:val="00F81003"/>
    <w:rsid w:val="00F8306D"/>
    <w:rsid w:val="00F8530B"/>
    <w:rsid w:val="00F85BAE"/>
    <w:rsid w:val="00F86024"/>
    <w:rsid w:val="00F8611A"/>
    <w:rsid w:val="00F86991"/>
    <w:rsid w:val="00F87D74"/>
    <w:rsid w:val="00F92D8A"/>
    <w:rsid w:val="00F95292"/>
    <w:rsid w:val="00F96CFE"/>
    <w:rsid w:val="00F97721"/>
    <w:rsid w:val="00FA1273"/>
    <w:rsid w:val="00FA1FD6"/>
    <w:rsid w:val="00FA2171"/>
    <w:rsid w:val="00FA5128"/>
    <w:rsid w:val="00FA5211"/>
    <w:rsid w:val="00FA723C"/>
    <w:rsid w:val="00FB42D4"/>
    <w:rsid w:val="00FB5417"/>
    <w:rsid w:val="00FB5906"/>
    <w:rsid w:val="00FB762F"/>
    <w:rsid w:val="00FB78C8"/>
    <w:rsid w:val="00FC2AED"/>
    <w:rsid w:val="00FC3E51"/>
    <w:rsid w:val="00FD5EA7"/>
    <w:rsid w:val="00FD63C7"/>
    <w:rsid w:val="00FD7AC4"/>
    <w:rsid w:val="00FE0121"/>
    <w:rsid w:val="00FE11F9"/>
    <w:rsid w:val="00FE36CF"/>
    <w:rsid w:val="00FE5069"/>
    <w:rsid w:val="00FF0246"/>
    <w:rsid w:val="00FF0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line="288" w:lineRule="auto"/>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customStyle="1" w:styleId="Zawartoramki">
    <w:name w:val="Zawartość ramki"/>
    <w:basedOn w:val="Normalny"/>
    <w:qFormat/>
    <w:rsid w:val="006D4224"/>
    <w:rPr>
      <w:color w:val="00000A"/>
    </w:rPr>
  </w:style>
  <w:style w:type="table" w:customStyle="1" w:styleId="Siatkatabelijasna1">
    <w:name w:val="Siatka tabeli — jasna1"/>
    <w:basedOn w:val="Standardowy"/>
    <w:uiPriority w:val="40"/>
    <w:rsid w:val="006D422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217196"/>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A5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97532726">
      <w:bodyDiv w:val="1"/>
      <w:marLeft w:val="0"/>
      <w:marRight w:val="0"/>
      <w:marTop w:val="0"/>
      <w:marBottom w:val="0"/>
      <w:divBdr>
        <w:top w:val="none" w:sz="0" w:space="0" w:color="auto"/>
        <w:left w:val="none" w:sz="0" w:space="0" w:color="auto"/>
        <w:bottom w:val="none" w:sz="0" w:space="0" w:color="auto"/>
        <w:right w:val="none" w:sz="0" w:space="0" w:color="auto"/>
      </w:divBdr>
    </w:div>
    <w:div w:id="283312281">
      <w:bodyDiv w:val="1"/>
      <w:marLeft w:val="0"/>
      <w:marRight w:val="0"/>
      <w:marTop w:val="0"/>
      <w:marBottom w:val="0"/>
      <w:divBdr>
        <w:top w:val="none" w:sz="0" w:space="0" w:color="auto"/>
        <w:left w:val="none" w:sz="0" w:space="0" w:color="auto"/>
        <w:bottom w:val="none" w:sz="0" w:space="0" w:color="auto"/>
        <w:right w:val="none" w:sz="0" w:space="0" w:color="auto"/>
      </w:divBdr>
    </w:div>
    <w:div w:id="285552297">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08474657">
      <w:bodyDiv w:val="1"/>
      <w:marLeft w:val="0"/>
      <w:marRight w:val="0"/>
      <w:marTop w:val="0"/>
      <w:marBottom w:val="0"/>
      <w:divBdr>
        <w:top w:val="none" w:sz="0" w:space="0" w:color="auto"/>
        <w:left w:val="none" w:sz="0" w:space="0" w:color="auto"/>
        <w:bottom w:val="none" w:sz="0" w:space="0" w:color="auto"/>
        <w:right w:val="none" w:sz="0" w:space="0" w:color="auto"/>
      </w:divBdr>
    </w:div>
    <w:div w:id="113174990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515027709">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1380930">
      <w:bodyDiv w:val="1"/>
      <w:marLeft w:val="0"/>
      <w:marRight w:val="0"/>
      <w:marTop w:val="0"/>
      <w:marBottom w:val="0"/>
      <w:divBdr>
        <w:top w:val="none" w:sz="0" w:space="0" w:color="auto"/>
        <w:left w:val="none" w:sz="0" w:space="0" w:color="auto"/>
        <w:bottom w:val="none" w:sz="0" w:space="0" w:color="auto"/>
        <w:right w:val="none" w:sz="0" w:space="0" w:color="auto"/>
      </w:divBdr>
    </w:div>
    <w:div w:id="1954625894">
      <w:bodyDiv w:val="1"/>
      <w:marLeft w:val="0"/>
      <w:marRight w:val="0"/>
      <w:marTop w:val="0"/>
      <w:marBottom w:val="0"/>
      <w:divBdr>
        <w:top w:val="none" w:sz="0" w:space="0" w:color="auto"/>
        <w:left w:val="none" w:sz="0" w:space="0" w:color="auto"/>
        <w:bottom w:val="none" w:sz="0" w:space="0" w:color="auto"/>
        <w:right w:val="none" w:sz="0" w:space="0" w:color="auto"/>
      </w:divBdr>
    </w:div>
    <w:div w:id="20394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youtube.com/channel/UC0wiQMElFgYszpAoYgTnXtg/featured" TargetMode="External"/><Relationship Id="rId39" Type="http://schemas.openxmlformats.org/officeDocument/2006/relationships/footer" Target="footer3.xml"/><Relationship Id="rId21" Type="http://schemas.openxmlformats.org/officeDocument/2006/relationships/image" Target="media/image7.png"/><Relationship Id="rId34" Type="http://schemas.openxmlformats.org/officeDocument/2006/relationships/hyperlink" Target="https://stat.gov.pl/en/metainformation/glossary/terms-used-in-official-statistics/615,term.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el:+48124204050" TargetMode="External"/><Relationship Id="rId20" Type="http://schemas.openxmlformats.org/officeDocument/2006/relationships/image" Target="media/image6.png"/><Relationship Id="rId29" Type="http://schemas.openxmlformats.org/officeDocument/2006/relationships/hyperlink" Target="https://stat.gov.pl/en/topics/culture-tourism-sport/culture/financial-results-of-cultural-institutions-in-2023-preliminary-data,13,28.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instagram.com/gus_stat/" TargetMode="External"/><Relationship Id="rId32" Type="http://schemas.openxmlformats.org/officeDocument/2006/relationships/hyperlink" Target="https://stat.gov.pl/en/metainformation/glossary/terms-used-in-official-statistics/158,term.html" TargetMode="External"/><Relationship Id="rId37" Type="http://schemas.openxmlformats.org/officeDocument/2006/relationships/hyperlink" Target="https://stat.gov.pl/en/metainformation/glossary/terms-used-in-official-statistics/128,term.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0.png"/><Relationship Id="rId36" Type="http://schemas.openxmlformats.org/officeDocument/2006/relationships/hyperlink" Target="https://stat.gov.pl/en/metainformation/glossary/terms-used-in-official-statistics/229,term.html" TargetMode="External"/><Relationship Id="rId10" Type="http://schemas.openxmlformats.org/officeDocument/2006/relationships/endnotes" Target="endnotes.xml"/><Relationship Id="rId19" Type="http://schemas.openxmlformats.org/officeDocument/2006/relationships/hyperlink" Target="https://stat.gov.pl/en/" TargetMode="External"/><Relationship Id="rId31" Type="http://schemas.openxmlformats.org/officeDocument/2006/relationships/hyperlink" Target="https://stat.gov.pl/en/metainformation/glossary/terms-used-in-official-statistics/395,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acebook.com/GlownyUrzadStatystyczny/" TargetMode="External"/><Relationship Id="rId27" Type="http://schemas.openxmlformats.org/officeDocument/2006/relationships/hyperlink" Target="https://pl.linkedin.com/company/glownyurzadstatystyczny" TargetMode="External"/><Relationship Id="rId30" Type="http://schemas.openxmlformats.org/officeDocument/2006/relationships/hyperlink" Target="https://stat.gov.pl/en/topics/economic-activities-finances/activity-of-enterprises-activity-of-companies/methodological-report-non-financial-enterprises-surveys-2019,13,2.html" TargetMode="External"/><Relationship Id="rId35" Type="http://schemas.openxmlformats.org/officeDocument/2006/relationships/hyperlink" Target="https://stat.gov.pl/en/metainformation/glossary/terms-used-in-official-statistics/223,term.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obslugaprasowa@stat.gov.pl" TargetMode="External"/><Relationship Id="rId25" Type="http://schemas.openxmlformats.org/officeDocument/2006/relationships/image" Target="media/image9.png"/><Relationship Id="rId33" Type="http://schemas.openxmlformats.org/officeDocument/2006/relationships/hyperlink" Target="https://stat.gov.pl/en/metainformation/glossary/terms-used-in-official-statistics/613,term.html"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04_Financial results of cultural institutions in the first quarter of 2024.docx.docx</NazwaPliku>
    <Osoba xmlns="1E9983FF-DC4B-4F4E-A072-0441E2B88E6D">STAT\piwowarczykm</Osoba>
    <Odbiorcy2 xmlns="1E9983FF-DC4B-4F4E-A072-0441E2B88E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3DE5940E-314C-440A-862C-EE4F274A67A3}"/>
</file>

<file path=customXml/itemProps2.xml><?xml version="1.0" encoding="utf-8"?>
<ds:datastoreItem xmlns:ds="http://schemas.openxmlformats.org/officeDocument/2006/customXml" ds:itemID="{E5777B78-E118-4B87-A243-489012129A67}"/>
</file>

<file path=customXml/itemProps3.xml><?xml version="1.0" encoding="utf-8"?>
<ds:datastoreItem xmlns:ds="http://schemas.openxmlformats.org/officeDocument/2006/customXml" ds:itemID="{59B5B74F-B827-4E0C-8CFA-70137535F528}"/>
</file>

<file path=customXml/itemProps4.xml><?xml version="1.0" encoding="utf-8"?>
<ds:datastoreItem xmlns:ds="http://schemas.openxmlformats.org/officeDocument/2006/customXml" ds:itemID="{F71997DC-6A44-4874-B679-7B6E4EB4B882}"/>
</file>

<file path=docProps/app.xml><?xml version="1.0" encoding="utf-8"?>
<Properties xmlns="http://schemas.openxmlformats.org/officeDocument/2006/extended-properties" xmlns:vt="http://schemas.openxmlformats.org/officeDocument/2006/docPropsVTypes">
  <Template>Normal</Template>
  <TotalTime>258</TotalTime>
  <Pages>4</Pages>
  <Words>1080</Words>
  <Characters>6480</Characters>
  <DocSecurity>0</DocSecurity>
  <Lines>54</Lines>
  <Paragraphs>15</Paragraphs>
  <ScaleCrop>false</ScaleCrop>
  <HeadingPairs>
    <vt:vector size="2" baseType="variant">
      <vt:variant>
        <vt:lpstr>Tytuł</vt:lpstr>
      </vt:variant>
      <vt:variant>
        <vt:i4>1</vt:i4>
      </vt:variant>
    </vt:vector>
  </HeadingPairs>
  <TitlesOfParts>
    <vt:vector size="1" baseType="lpstr">
      <vt:lpstr>Acitvity of art galleries in 2023</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2023-02-24T09:20:00Z</cp:lastPrinted>
  <dcterms:created xsi:type="dcterms:W3CDTF">2024-06-04T06:34:00Z</dcterms:created>
  <dcterms:modified xsi:type="dcterms:W3CDTF">2024-06-06T10:48:00Z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