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E5157" w14:textId="668C271A" w:rsidR="00DF42C0" w:rsidRPr="00A306AD" w:rsidRDefault="00DF42C0" w:rsidP="00DF42C0">
      <w:pPr>
        <w:pStyle w:val="Tytuinfomacjisygnalnej"/>
        <w:rPr>
          <w:lang w:val="en-GB"/>
        </w:rPr>
      </w:pPr>
      <w:bookmarkStart w:id="0" w:name="_GoBack"/>
      <w:bookmarkEnd w:id="0"/>
      <w:r w:rsidRPr="00A306AD">
        <w:rPr>
          <w:rFonts w:cs="Fira Sans Extra Condensed SemiB"/>
          <w:bCs/>
          <w:spacing w:val="-2"/>
          <w:szCs w:val="40"/>
          <w:lang w:val="en-GB"/>
        </w:rPr>
        <w:t xml:space="preserve">Financial results of cultural institutions in the first </w:t>
      </w:r>
      <w:r w:rsidR="002D5A68">
        <w:rPr>
          <w:rFonts w:cs="Fira Sans Extra Condensed SemiB"/>
          <w:bCs/>
          <w:spacing w:val="-2"/>
          <w:szCs w:val="40"/>
          <w:lang w:val="en-GB"/>
        </w:rPr>
        <w:t>half</w:t>
      </w:r>
      <w:r w:rsidRPr="00A306AD">
        <w:rPr>
          <w:rFonts w:cs="Fira Sans Extra Condensed SemiB"/>
          <w:bCs/>
          <w:spacing w:val="-2"/>
          <w:szCs w:val="40"/>
          <w:lang w:val="en-GB"/>
        </w:rPr>
        <w:t xml:space="preserve"> of 2024</w:t>
      </w:r>
    </w:p>
    <w:p w14:paraId="57FB7B71" w14:textId="1BE6244B" w:rsidR="003521FF" w:rsidRPr="00A306AD" w:rsidRDefault="009722FC" w:rsidP="00D2742F">
      <w:pPr>
        <w:pStyle w:val="LID"/>
        <w:spacing w:before="720" w:after="720"/>
        <w:rPr>
          <w:lang w:val="en-GB"/>
        </w:rPr>
      </w:pPr>
      <w:r w:rsidRPr="00A306AD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0B6ACCD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28825" cy="1095375"/>
                <wp:effectExtent l="0" t="0" r="9525" b="9525"/>
                <wp:wrapSquare wrapText="bothSides"/>
                <wp:docPr id="3" name="Pole tekstowe 2" descr="Arrow icon pointing upwards, presenting 17.1% increase in the total revenues in comparison to previous year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953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278AA006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D2742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  <w:r w:rsidR="002D5A68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7</w:t>
                            </w:r>
                            <w:r w:rsidR="00D2742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2D5A68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4C215BBD" w:rsidR="00241FA7" w:rsidRPr="00F16692" w:rsidRDefault="00D2742F" w:rsidP="004C58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Total revenues</w:t>
                            </w:r>
                            <w:r w:rsidR="003C5274">
                              <w:rPr>
                                <w:lang w:val="en-GB"/>
                              </w:rPr>
                              <w:t xml:space="preserve"> increase </w:t>
                            </w:r>
                            <w:r w:rsidR="00CE59A9">
                              <w:rPr>
                                <w:lang w:val="en-GB"/>
                              </w:rPr>
                              <w:t>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17.1% increase in the total revenues in comparison to previous year&#10;&#10;&#10;&#10;&#10;" style="position:absolute;margin-left:0;margin-top:.55pt;width:159.75pt;height:86.2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" fillcolor="#001d77" stroked="f">
                <v:stroke joinstyle="miter"/>
                <v:textbox>
                  <w:txbxContent>
                    <w:p w14:paraId="0321F3D8" w14:textId="278AA006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D2742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</w:t>
                      </w:r>
                      <w:r w:rsidR="002D5A68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</w:t>
                      </w:r>
                      <w:r w:rsidR="00D2742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2D5A68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4C215BBD" w:rsidR="00241FA7" w:rsidRPr="00F16692" w:rsidRDefault="00D2742F" w:rsidP="004C58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Total revenues</w:t>
                      </w:r>
                      <w:r w:rsidR="003C5274">
                        <w:rPr>
                          <w:lang w:val="en-GB"/>
                        </w:rPr>
                        <w:t xml:space="preserve"> increase </w:t>
                      </w:r>
                      <w:r w:rsidR="00CE59A9">
                        <w:rPr>
                          <w:lang w:val="en-GB"/>
                        </w:rPr>
                        <w:t>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B01A6">
        <w:rPr>
          <w:shd w:val="clear" w:color="auto" w:fill="FFFFFF"/>
          <w:lang w:val="en-GB"/>
        </w:rPr>
        <w:t xml:space="preserve">In the </w:t>
      </w:r>
      <w:r w:rsidR="002D5A68">
        <w:rPr>
          <w:shd w:val="clear" w:color="auto" w:fill="FFFFFF"/>
          <w:lang w:val="en-GB"/>
        </w:rPr>
        <w:t>first half</w:t>
      </w:r>
      <w:r w:rsidR="00D2742F" w:rsidRPr="00A306AD">
        <w:rPr>
          <w:shd w:val="clear" w:color="auto" w:fill="FFFFFF"/>
          <w:lang w:val="en-GB"/>
        </w:rPr>
        <w:t xml:space="preserve"> of 2024, the financial results of cultural institutions increased compared to those obtained in the co</w:t>
      </w:r>
      <w:r w:rsidR="00305C4B" w:rsidRPr="00A306AD">
        <w:rPr>
          <w:shd w:val="clear" w:color="auto" w:fill="FFFFFF"/>
          <w:lang w:val="en-GB"/>
        </w:rPr>
        <w:t>rresponding period of the previo</w:t>
      </w:r>
      <w:r w:rsidR="00D2742F" w:rsidRPr="00A306AD">
        <w:rPr>
          <w:shd w:val="clear" w:color="auto" w:fill="FFFFFF"/>
          <w:lang w:val="en-GB"/>
        </w:rPr>
        <w:t xml:space="preserve">us year. </w:t>
      </w:r>
      <w:r w:rsidR="002D5A68">
        <w:rPr>
          <w:shd w:val="clear" w:color="auto" w:fill="FFFFFF"/>
          <w:lang w:val="en-GB"/>
        </w:rPr>
        <w:t>T</w:t>
      </w:r>
      <w:r w:rsidR="00D2742F" w:rsidRPr="00A306AD">
        <w:rPr>
          <w:shd w:val="clear" w:color="auto" w:fill="FFFFFF"/>
          <w:lang w:val="en-GB"/>
        </w:rPr>
        <w:t>otal revenues increased by 1</w:t>
      </w:r>
      <w:r w:rsidR="002D5A68">
        <w:rPr>
          <w:shd w:val="clear" w:color="auto" w:fill="FFFFFF"/>
          <w:lang w:val="en-GB"/>
        </w:rPr>
        <w:t>7</w:t>
      </w:r>
      <w:r w:rsidR="00D2742F" w:rsidRPr="00A306AD">
        <w:rPr>
          <w:shd w:val="clear" w:color="auto" w:fill="FFFFFF"/>
          <w:lang w:val="en-GB"/>
        </w:rPr>
        <w:t>.</w:t>
      </w:r>
      <w:r w:rsidR="002D5A68">
        <w:rPr>
          <w:shd w:val="clear" w:color="auto" w:fill="FFFFFF"/>
          <w:lang w:val="en-GB"/>
        </w:rPr>
        <w:t>1</w:t>
      </w:r>
      <w:r w:rsidR="00D2742F" w:rsidRPr="00A306AD">
        <w:rPr>
          <w:shd w:val="clear" w:color="auto" w:fill="FFFFFF"/>
          <w:lang w:val="en-GB"/>
        </w:rPr>
        <w:t>%</w:t>
      </w:r>
      <w:r w:rsidR="002D5A68">
        <w:rPr>
          <w:shd w:val="clear" w:color="auto" w:fill="FFFFFF"/>
          <w:lang w:val="en-GB"/>
        </w:rPr>
        <w:t xml:space="preserve"> in this period, </w:t>
      </w:r>
      <w:r w:rsidR="002D5A68" w:rsidRPr="00A306AD">
        <w:rPr>
          <w:shd w:val="clear" w:color="auto" w:fill="FFFFFF"/>
          <w:lang w:val="en-GB"/>
        </w:rPr>
        <w:t>total costs</w:t>
      </w:r>
      <w:r w:rsidR="002D5A68">
        <w:rPr>
          <w:shd w:val="clear" w:color="auto" w:fill="FFFFFF"/>
          <w:lang w:val="en-GB"/>
        </w:rPr>
        <w:t xml:space="preserve"> incr</w:t>
      </w:r>
      <w:r w:rsidR="00DA534F">
        <w:rPr>
          <w:shd w:val="clear" w:color="auto" w:fill="FFFFFF"/>
          <w:lang w:val="en-GB"/>
        </w:rPr>
        <w:t>ea</w:t>
      </w:r>
      <w:r w:rsidR="002D5A68">
        <w:rPr>
          <w:shd w:val="clear" w:color="auto" w:fill="FFFFFF"/>
          <w:lang w:val="en-GB"/>
        </w:rPr>
        <w:t>sed by 16</w:t>
      </w:r>
      <w:r w:rsidR="00DB01A6">
        <w:rPr>
          <w:shd w:val="clear" w:color="auto" w:fill="FFFFFF"/>
          <w:lang w:val="en-GB"/>
        </w:rPr>
        <w:t>.</w:t>
      </w:r>
      <w:r w:rsidR="002D5A68">
        <w:rPr>
          <w:shd w:val="clear" w:color="auto" w:fill="FFFFFF"/>
          <w:lang w:val="en-GB"/>
        </w:rPr>
        <w:t>8%</w:t>
      </w:r>
      <w:r w:rsidR="002D5A68" w:rsidRPr="00A306AD">
        <w:rPr>
          <w:shd w:val="clear" w:color="auto" w:fill="FFFFFF"/>
          <w:lang w:val="en-GB"/>
        </w:rPr>
        <w:t xml:space="preserve"> </w:t>
      </w:r>
      <w:r w:rsidR="00C750AB" w:rsidRPr="00A306AD">
        <w:rPr>
          <w:shd w:val="clear" w:color="auto" w:fill="FFFFFF"/>
          <w:lang w:val="en-GB"/>
        </w:rPr>
        <w:t>and</w:t>
      </w:r>
      <w:r w:rsidR="00D2742F" w:rsidRPr="00A306AD">
        <w:rPr>
          <w:shd w:val="clear" w:color="auto" w:fill="FFFFFF"/>
          <w:lang w:val="en-GB"/>
        </w:rPr>
        <w:t xml:space="preserve"> investment outlays </w:t>
      </w:r>
      <w:r w:rsidR="002D5A68">
        <w:rPr>
          <w:shd w:val="clear" w:color="auto" w:fill="FFFFFF"/>
          <w:lang w:val="en-GB"/>
        </w:rPr>
        <w:t>decre</w:t>
      </w:r>
      <w:r w:rsidR="00DA534F">
        <w:rPr>
          <w:shd w:val="clear" w:color="auto" w:fill="FFFFFF"/>
          <w:lang w:val="en-GB"/>
        </w:rPr>
        <w:t>a</w:t>
      </w:r>
      <w:r w:rsidR="002D5A68">
        <w:rPr>
          <w:shd w:val="clear" w:color="auto" w:fill="FFFFFF"/>
          <w:lang w:val="en-GB"/>
        </w:rPr>
        <w:t xml:space="preserve">sed </w:t>
      </w:r>
      <w:r w:rsidR="00D2742F" w:rsidRPr="00A306AD">
        <w:rPr>
          <w:shd w:val="clear" w:color="auto" w:fill="FFFFFF"/>
          <w:lang w:val="en-GB"/>
        </w:rPr>
        <w:t>by 1</w:t>
      </w:r>
      <w:r w:rsidR="002D5A68">
        <w:rPr>
          <w:shd w:val="clear" w:color="auto" w:fill="FFFFFF"/>
          <w:lang w:val="en-GB"/>
        </w:rPr>
        <w:t>3</w:t>
      </w:r>
      <w:r w:rsidR="00D2742F" w:rsidRPr="00A306AD">
        <w:rPr>
          <w:shd w:val="clear" w:color="auto" w:fill="FFFFFF"/>
          <w:lang w:val="en-GB"/>
        </w:rPr>
        <w:t>.0% during this period.</w:t>
      </w:r>
    </w:p>
    <w:p w14:paraId="589FF292" w14:textId="00D8500C" w:rsidR="00556A9E" w:rsidRPr="00A306AD" w:rsidRDefault="007246DD" w:rsidP="00556A9E">
      <w:pPr>
        <w:spacing w:before="240" w:line="288" w:lineRule="auto"/>
        <w:rPr>
          <w:lang w:val="en-GB"/>
        </w:rPr>
      </w:pPr>
      <w:r>
        <w:rPr>
          <w:lang w:val="en-GB"/>
        </w:rPr>
        <w:t>T</w:t>
      </w:r>
      <w:r w:rsidRPr="00A306AD">
        <w:rPr>
          <w:lang w:val="en-GB"/>
        </w:rPr>
        <w:t xml:space="preserve">otal revenues of cultural institutions </w:t>
      </w:r>
      <w:r>
        <w:rPr>
          <w:lang w:val="en-GB"/>
        </w:rPr>
        <w:t>i</w:t>
      </w:r>
      <w:r w:rsidR="00556A9E" w:rsidRPr="00A306AD">
        <w:rPr>
          <w:lang w:val="en-GB"/>
        </w:rPr>
        <w:t xml:space="preserve">n the first </w:t>
      </w:r>
      <w:r w:rsidR="007A22DC">
        <w:rPr>
          <w:lang w:val="en-GB"/>
        </w:rPr>
        <w:t>half</w:t>
      </w:r>
      <w:r w:rsidR="00556A9E" w:rsidRPr="00A306AD">
        <w:rPr>
          <w:lang w:val="en-GB"/>
        </w:rPr>
        <w:t xml:space="preserve"> of 2024</w:t>
      </w:r>
      <w:r>
        <w:rPr>
          <w:lang w:val="en-GB"/>
        </w:rPr>
        <w:t xml:space="preserve"> were 17</w:t>
      </w:r>
      <w:r w:rsidR="00DB01A6">
        <w:rPr>
          <w:lang w:val="en-GB"/>
        </w:rPr>
        <w:t>.</w:t>
      </w:r>
      <w:r>
        <w:rPr>
          <w:lang w:val="en-GB"/>
        </w:rPr>
        <w:t>1% higher than those achieved a year earlier and</w:t>
      </w:r>
      <w:r w:rsidR="00556A9E" w:rsidRPr="00A306AD">
        <w:rPr>
          <w:lang w:val="en-GB"/>
        </w:rPr>
        <w:t xml:space="preserve"> amounted to PLN </w:t>
      </w:r>
      <w:r w:rsidR="00E57023">
        <w:rPr>
          <w:lang w:val="en-GB"/>
        </w:rPr>
        <w:t>7</w:t>
      </w:r>
      <w:r w:rsidR="00556A9E" w:rsidRPr="00A306AD">
        <w:rPr>
          <w:lang w:val="en-GB"/>
        </w:rPr>
        <w:t>,</w:t>
      </w:r>
      <w:r>
        <w:rPr>
          <w:lang w:val="en-GB"/>
        </w:rPr>
        <w:t>937</w:t>
      </w:r>
      <w:r w:rsidR="00556A9E" w:rsidRPr="00A306AD">
        <w:rPr>
          <w:lang w:val="en-GB"/>
        </w:rPr>
        <w:t>.</w:t>
      </w:r>
      <w:r>
        <w:rPr>
          <w:lang w:val="en-GB"/>
        </w:rPr>
        <w:t>4</w:t>
      </w:r>
      <w:r w:rsidR="00556A9E" w:rsidRPr="00A306AD">
        <w:rPr>
          <w:lang w:val="en-GB"/>
        </w:rPr>
        <w:t xml:space="preserve"> million</w:t>
      </w:r>
      <w:r>
        <w:rPr>
          <w:lang w:val="en-GB"/>
        </w:rPr>
        <w:t>.</w:t>
      </w:r>
      <w:r w:rsidR="00556A9E" w:rsidRPr="00A306AD">
        <w:rPr>
          <w:lang w:val="en-GB"/>
        </w:rPr>
        <w:t xml:space="preserve"> </w:t>
      </w:r>
      <w:r w:rsidRPr="007246DD">
        <w:rPr>
          <w:lang w:val="en-GB"/>
        </w:rPr>
        <w:t xml:space="preserve">In the structure of revenues, 92.4% were net revenues from the sale of products, goods and materials, 7.3% – other operating </w:t>
      </w:r>
      <w:r w:rsidR="009969D9">
        <w:rPr>
          <w:lang w:val="en-GB"/>
        </w:rPr>
        <w:t>revenues</w:t>
      </w:r>
      <w:r w:rsidRPr="007246DD">
        <w:rPr>
          <w:lang w:val="en-GB"/>
        </w:rPr>
        <w:t xml:space="preserve">, and 0.3% – financial </w:t>
      </w:r>
      <w:r w:rsidR="009969D9">
        <w:rPr>
          <w:lang w:val="en-GB"/>
        </w:rPr>
        <w:t>revenues</w:t>
      </w:r>
      <w:r w:rsidRPr="007246DD">
        <w:rPr>
          <w:lang w:val="en-GB"/>
        </w:rPr>
        <w:t>. Almost 25% of all revenues of cultural institutions were total revenues of entities located in Mazowieckie Voivodship.</w:t>
      </w:r>
    </w:p>
    <w:p w14:paraId="7C3D73F9" w14:textId="15C4720E" w:rsidR="00E4286D" w:rsidRPr="00A306AD" w:rsidRDefault="00E4286D" w:rsidP="00E4286D">
      <w:pPr>
        <w:spacing w:before="240" w:line="288" w:lineRule="auto"/>
        <w:rPr>
          <w:lang w:val="en-GB"/>
        </w:rPr>
      </w:pPr>
      <w:r w:rsidRPr="00A306A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80448" behindDoc="1" locked="0" layoutInCell="1" allowOverlap="1" wp14:anchorId="20879E7F" wp14:editId="36F91B5A">
                <wp:simplePos x="0" y="0"/>
                <wp:positionH relativeFrom="page">
                  <wp:posOffset>5726816</wp:posOffset>
                </wp:positionH>
                <wp:positionV relativeFrom="paragraph">
                  <wp:posOffset>83434</wp:posOffset>
                </wp:positionV>
                <wp:extent cx="1725295" cy="1038225"/>
                <wp:effectExtent l="0" t="0" r="0" b="0"/>
                <wp:wrapTight wrapText="bothSides">
                  <wp:wrapPolygon edited="0">
                    <wp:start x="715" y="0"/>
                    <wp:lineTo x="715" y="21006"/>
                    <wp:lineTo x="20749" y="21006"/>
                    <wp:lineTo x="20749" y="0"/>
                    <wp:lineTo x="715" y="0"/>
                  </wp:wrapPolygon>
                </wp:wrapTight>
                <wp:docPr id="22" name="Pole tekstowe 22" descr="Total revenues of gminas local cultural institutions in the first half of 2024 amounted to PLN 4,573.0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BBCE" w14:textId="55C7805F" w:rsidR="00556A9E" w:rsidRPr="00D737C9" w:rsidRDefault="00556A9E" w:rsidP="00556A9E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D737C9">
                              <w:rPr>
                                <w:lang w:val="en-GB"/>
                              </w:rPr>
                              <w:t xml:space="preserve">Total revenues of </w:t>
                            </w:r>
                            <w:proofErr w:type="spellStart"/>
                            <w:r w:rsidRPr="00D737C9">
                              <w:rPr>
                                <w:lang w:val="en-GB"/>
                              </w:rPr>
                              <w:t>gminas</w:t>
                            </w:r>
                            <w:proofErr w:type="spellEnd"/>
                            <w:r w:rsidRPr="00D737C9">
                              <w:rPr>
                                <w:lang w:val="en-GB"/>
                              </w:rPr>
                              <w:t xml:space="preserve"> local cultural institutions in the 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 xml:space="preserve">first half </w:t>
                            </w:r>
                            <w:r w:rsidRPr="00D737C9">
                              <w:rPr>
                                <w:lang w:val="en-GB"/>
                              </w:rPr>
                              <w:t xml:space="preserve">of 2024 amounted to PLN 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4</w:t>
                            </w:r>
                            <w:r w:rsidRPr="00D737C9">
                              <w:rPr>
                                <w:lang w:val="en-GB"/>
                              </w:rPr>
                              <w:t>,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573</w:t>
                            </w:r>
                            <w:r w:rsidRPr="00D737C9">
                              <w:rPr>
                                <w:lang w:val="en-GB"/>
                              </w:rPr>
                              <w:t>.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0</w:t>
                            </w:r>
                            <w:r w:rsidRPr="00D737C9"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  <w:p w14:paraId="69331966" w14:textId="689AD9E9" w:rsidR="00DF7BB9" w:rsidRPr="00D737C9" w:rsidRDefault="00DF7BB9" w:rsidP="00DF7BB9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79E7F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7" type="#_x0000_t202" alt="Total revenues of gminas local cultural institutions in the first half of 2024 amounted to PLN 4,573.0 million" style="position:absolute;margin-left:450.95pt;margin-top:6.55pt;width:135.85pt;height:81.75pt;z-index:-251436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" filled="f" stroked="f">
                <v:textbox>
                  <w:txbxContent>
                    <w:p w14:paraId="17A6BBCE" w14:textId="55C7805F" w:rsidR="00556A9E" w:rsidRPr="00D737C9" w:rsidRDefault="00556A9E" w:rsidP="00556A9E">
                      <w:pPr>
                        <w:pStyle w:val="tekstzboku"/>
                        <w:rPr>
                          <w:lang w:val="en-GB"/>
                        </w:rPr>
                      </w:pPr>
                      <w:r w:rsidRPr="00D737C9">
                        <w:rPr>
                          <w:lang w:val="en-GB"/>
                        </w:rPr>
                        <w:t xml:space="preserve">Total revenues of </w:t>
                      </w:r>
                      <w:proofErr w:type="spellStart"/>
                      <w:r w:rsidRPr="00D737C9">
                        <w:rPr>
                          <w:lang w:val="en-GB"/>
                        </w:rPr>
                        <w:t>gminas</w:t>
                      </w:r>
                      <w:proofErr w:type="spellEnd"/>
                      <w:r w:rsidRPr="00D737C9">
                        <w:rPr>
                          <w:lang w:val="en-GB"/>
                        </w:rPr>
                        <w:t xml:space="preserve"> local cultural institutions in the </w:t>
                      </w:r>
                      <w:r w:rsidR="006F78C5" w:rsidRPr="00D737C9">
                        <w:rPr>
                          <w:lang w:val="en-GB"/>
                        </w:rPr>
                        <w:t xml:space="preserve">first half </w:t>
                      </w:r>
                      <w:r w:rsidRPr="00D737C9">
                        <w:rPr>
                          <w:lang w:val="en-GB"/>
                        </w:rPr>
                        <w:t xml:space="preserve">of 2024 amounted to PLN </w:t>
                      </w:r>
                      <w:r w:rsidR="006F78C5" w:rsidRPr="00D737C9">
                        <w:rPr>
                          <w:lang w:val="en-GB"/>
                        </w:rPr>
                        <w:t>4</w:t>
                      </w:r>
                      <w:r w:rsidRPr="00D737C9">
                        <w:rPr>
                          <w:lang w:val="en-GB"/>
                        </w:rPr>
                        <w:t>,</w:t>
                      </w:r>
                      <w:r w:rsidR="006F78C5" w:rsidRPr="00D737C9">
                        <w:rPr>
                          <w:lang w:val="en-GB"/>
                        </w:rPr>
                        <w:t>573</w:t>
                      </w:r>
                      <w:r w:rsidRPr="00D737C9">
                        <w:rPr>
                          <w:lang w:val="en-GB"/>
                        </w:rPr>
                        <w:t>.</w:t>
                      </w:r>
                      <w:r w:rsidR="006F78C5" w:rsidRPr="00D737C9">
                        <w:rPr>
                          <w:lang w:val="en-GB"/>
                        </w:rPr>
                        <w:t>0</w:t>
                      </w:r>
                      <w:r w:rsidRPr="00D737C9">
                        <w:rPr>
                          <w:lang w:val="en-GB"/>
                        </w:rPr>
                        <w:t xml:space="preserve"> million</w:t>
                      </w:r>
                    </w:p>
                    <w:p w14:paraId="69331966" w14:textId="689AD9E9" w:rsidR="00DF7BB9" w:rsidRPr="00D737C9" w:rsidRDefault="00DF7BB9" w:rsidP="00DF7BB9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306AD">
        <w:rPr>
          <w:lang w:val="en-GB"/>
        </w:rPr>
        <w:t xml:space="preserve">On average total revenues per one cultural institution amounted to PLN </w:t>
      </w:r>
      <w:r w:rsidR="009969D9">
        <w:rPr>
          <w:lang w:val="en-GB"/>
        </w:rPr>
        <w:t>1,685.9</w:t>
      </w:r>
      <w:r w:rsidRPr="00A306AD">
        <w:rPr>
          <w:lang w:val="en-GB"/>
        </w:rPr>
        <w:t xml:space="preserve"> thousand. The highest total revenues per one institution were achieved by cultural institutions in Mazowieckie Voivodship – PLN </w:t>
      </w:r>
      <w:r w:rsidR="009969D9">
        <w:rPr>
          <w:lang w:val="en-GB"/>
        </w:rPr>
        <w:t>3</w:t>
      </w:r>
      <w:r w:rsidRPr="00A306AD">
        <w:rPr>
          <w:lang w:val="en-GB"/>
        </w:rPr>
        <w:t>,</w:t>
      </w:r>
      <w:r w:rsidR="009969D9">
        <w:rPr>
          <w:lang w:val="en-GB"/>
        </w:rPr>
        <w:t>026</w:t>
      </w:r>
      <w:r w:rsidRPr="00A306AD">
        <w:rPr>
          <w:lang w:val="en-GB"/>
        </w:rPr>
        <w:t>.</w:t>
      </w:r>
      <w:r w:rsidR="009969D9">
        <w:rPr>
          <w:lang w:val="en-GB"/>
        </w:rPr>
        <w:t>2</w:t>
      </w:r>
      <w:r w:rsidRPr="00A306AD">
        <w:rPr>
          <w:lang w:val="en-GB"/>
        </w:rPr>
        <w:t xml:space="preserve"> thousand and the lowest in Lubelskie Voivodship – PLN </w:t>
      </w:r>
      <w:r w:rsidR="009969D9">
        <w:rPr>
          <w:lang w:val="en-GB"/>
        </w:rPr>
        <w:t>807</w:t>
      </w:r>
      <w:r w:rsidRPr="00A306AD">
        <w:rPr>
          <w:lang w:val="en-GB"/>
        </w:rPr>
        <w:t>.</w:t>
      </w:r>
      <w:r w:rsidR="009969D9">
        <w:rPr>
          <w:lang w:val="en-GB"/>
        </w:rPr>
        <w:t>3</w:t>
      </w:r>
      <w:r w:rsidRPr="00A306AD">
        <w:rPr>
          <w:lang w:val="en-GB"/>
        </w:rPr>
        <w:t xml:space="preserve"> thousand. Total revenues of local government cultural institutions amounted to PLN </w:t>
      </w:r>
      <w:r w:rsidR="009969D9">
        <w:rPr>
          <w:lang w:val="en-GB"/>
        </w:rPr>
        <w:t>6</w:t>
      </w:r>
      <w:r w:rsidRPr="00A306AD">
        <w:rPr>
          <w:lang w:val="en-GB"/>
        </w:rPr>
        <w:t>,</w:t>
      </w:r>
      <w:r w:rsidR="009969D9">
        <w:rPr>
          <w:lang w:val="en-GB"/>
        </w:rPr>
        <w:t>540</w:t>
      </w:r>
      <w:r w:rsidRPr="00A306AD">
        <w:rPr>
          <w:lang w:val="en-GB"/>
        </w:rPr>
        <w:t>.</w:t>
      </w:r>
      <w:r w:rsidR="009969D9">
        <w:rPr>
          <w:lang w:val="en-GB"/>
        </w:rPr>
        <w:t>0</w:t>
      </w:r>
      <w:r w:rsidRPr="00A306AD">
        <w:rPr>
          <w:lang w:val="en-GB"/>
        </w:rPr>
        <w:t xml:space="preserve"> million (82.</w:t>
      </w:r>
      <w:r w:rsidR="009969D9">
        <w:rPr>
          <w:lang w:val="en-GB"/>
        </w:rPr>
        <w:t>4</w:t>
      </w:r>
      <w:r w:rsidRPr="00A306AD">
        <w:rPr>
          <w:lang w:val="en-GB"/>
        </w:rPr>
        <w:t xml:space="preserve">%), while total revenues of national cultural institutions amounted to PLN </w:t>
      </w:r>
      <w:r w:rsidR="006F78C5">
        <w:rPr>
          <w:lang w:val="en-GB"/>
        </w:rPr>
        <w:t>1,397.5</w:t>
      </w:r>
      <w:r w:rsidRPr="00A306AD">
        <w:rPr>
          <w:lang w:val="en-GB"/>
        </w:rPr>
        <w:t xml:space="preserve"> million (17.</w:t>
      </w:r>
      <w:r w:rsidR="006F78C5">
        <w:rPr>
          <w:lang w:val="en-GB"/>
        </w:rPr>
        <w:t>6</w:t>
      </w:r>
      <w:r w:rsidRPr="00A306AD">
        <w:rPr>
          <w:lang w:val="en-GB"/>
        </w:rPr>
        <w:t xml:space="preserve">%). </w:t>
      </w:r>
      <w:r w:rsidR="00414460" w:rsidRPr="00A306AD">
        <w:rPr>
          <w:lang w:val="en-GB"/>
        </w:rPr>
        <w:t>T</w:t>
      </w:r>
      <w:r w:rsidRPr="00A306AD">
        <w:rPr>
          <w:lang w:val="en-GB"/>
        </w:rPr>
        <w:t>he largest share in total revenues of all cultural institutions</w:t>
      </w:r>
      <w:r w:rsidR="00414460" w:rsidRPr="00A306AD">
        <w:rPr>
          <w:lang w:val="en-GB"/>
        </w:rPr>
        <w:t xml:space="preserve"> had the entities </w:t>
      </w:r>
      <w:r w:rsidR="006F78C5">
        <w:rPr>
          <w:lang w:val="en-GB"/>
        </w:rPr>
        <w:t>operating</w:t>
      </w:r>
      <w:r w:rsidR="00414460" w:rsidRPr="00A306AD">
        <w:rPr>
          <w:lang w:val="en-GB"/>
        </w:rPr>
        <w:t xml:space="preserve"> </w:t>
      </w:r>
      <w:r w:rsidR="00DA534F">
        <w:rPr>
          <w:lang w:val="en-GB"/>
        </w:rPr>
        <w:t>arts</w:t>
      </w:r>
      <w:r w:rsidR="00414460" w:rsidRPr="00A306AD">
        <w:rPr>
          <w:lang w:val="en-GB"/>
        </w:rPr>
        <w:t xml:space="preserve"> facilities</w:t>
      </w:r>
      <w:r w:rsidRPr="00A306AD">
        <w:rPr>
          <w:lang w:val="en-GB"/>
        </w:rPr>
        <w:t xml:space="preserve"> </w:t>
      </w:r>
      <w:r w:rsidR="00414460" w:rsidRPr="00A306AD">
        <w:rPr>
          <w:lang w:val="en-GB"/>
        </w:rPr>
        <w:t>– 41</w:t>
      </w:r>
      <w:r w:rsidRPr="00A306AD">
        <w:rPr>
          <w:lang w:val="en-GB"/>
        </w:rPr>
        <w:t>.</w:t>
      </w:r>
      <w:r w:rsidR="006F78C5">
        <w:rPr>
          <w:lang w:val="en-GB"/>
        </w:rPr>
        <w:t>0</w:t>
      </w:r>
      <w:r w:rsidRPr="00A306AD">
        <w:rPr>
          <w:lang w:val="en-GB"/>
        </w:rPr>
        <w:t>%.</w:t>
      </w:r>
    </w:p>
    <w:p w14:paraId="27E458F3" w14:textId="2E62014A" w:rsidR="00010C93" w:rsidRDefault="0030472C" w:rsidP="00D243CE">
      <w:pPr>
        <w:spacing w:line="288" w:lineRule="auto"/>
        <w:rPr>
          <w:lang w:val="en-GB"/>
        </w:rPr>
      </w:pPr>
      <w:r w:rsidRPr="00A306AD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7ED102BE" wp14:editId="2AA2C574">
                <wp:simplePos x="0" y="0"/>
                <wp:positionH relativeFrom="column">
                  <wp:posOffset>5298468</wp:posOffset>
                </wp:positionH>
                <wp:positionV relativeFrom="paragraph">
                  <wp:posOffset>790217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4" name="Pole tekstowe 4" descr="Net financial result of cultural institution in the first half of 2024 amounted to PLN 550.1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3B57" w14:textId="202C1DC3" w:rsidR="00414460" w:rsidRPr="00D737C9" w:rsidRDefault="00414460" w:rsidP="00414460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D737C9">
                              <w:rPr>
                                <w:lang w:val="en-GB"/>
                              </w:rPr>
                              <w:t xml:space="preserve">Net financial result of cultural institution in the first 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half</w:t>
                            </w:r>
                            <w:r w:rsidRPr="00D737C9">
                              <w:rPr>
                                <w:lang w:val="en-GB"/>
                              </w:rPr>
                              <w:t xml:space="preserve"> of 2024 amounted to PLN 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5</w:t>
                            </w:r>
                            <w:r w:rsidRPr="00D737C9">
                              <w:rPr>
                                <w:lang w:val="en-GB"/>
                              </w:rPr>
                              <w:t>5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0</w:t>
                            </w:r>
                            <w:r w:rsidRPr="00D737C9">
                              <w:rPr>
                                <w:lang w:val="en-GB"/>
                              </w:rPr>
                              <w:t>.</w:t>
                            </w:r>
                            <w:r w:rsidR="006F78C5" w:rsidRPr="00D737C9">
                              <w:rPr>
                                <w:lang w:val="en-GB"/>
                              </w:rPr>
                              <w:t>1</w:t>
                            </w:r>
                            <w:r w:rsidRPr="00D737C9"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102BE" id="Pole tekstowe 4" o:spid="_x0000_s1028" type="#_x0000_t202" alt="Net financial result of cultural institution in the first half of 2024 amounted to PLN 550.1 million" style="position:absolute;margin-left:417.2pt;margin-top:62.2pt;width:135.85pt;height:84.9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" filled="f" stroked="f">
                <v:textbox>
                  <w:txbxContent>
                    <w:p w14:paraId="13CD3B57" w14:textId="202C1DC3" w:rsidR="00414460" w:rsidRPr="00D737C9" w:rsidRDefault="00414460" w:rsidP="00414460">
                      <w:pPr>
                        <w:pStyle w:val="tekstzboku"/>
                        <w:rPr>
                          <w:lang w:val="en-GB"/>
                        </w:rPr>
                      </w:pPr>
                      <w:r w:rsidRPr="00D737C9">
                        <w:rPr>
                          <w:lang w:val="en-GB"/>
                        </w:rPr>
                        <w:t xml:space="preserve">Net financial result of cultural institution in the first </w:t>
                      </w:r>
                      <w:r w:rsidR="006F78C5" w:rsidRPr="00D737C9">
                        <w:rPr>
                          <w:lang w:val="en-GB"/>
                        </w:rPr>
                        <w:t>half</w:t>
                      </w:r>
                      <w:r w:rsidRPr="00D737C9">
                        <w:rPr>
                          <w:lang w:val="en-GB"/>
                        </w:rPr>
                        <w:t xml:space="preserve"> of 2024 amounted to PLN </w:t>
                      </w:r>
                      <w:r w:rsidR="006F78C5" w:rsidRPr="00D737C9">
                        <w:rPr>
                          <w:lang w:val="en-GB"/>
                        </w:rPr>
                        <w:t>5</w:t>
                      </w:r>
                      <w:r w:rsidRPr="00D737C9">
                        <w:rPr>
                          <w:lang w:val="en-GB"/>
                        </w:rPr>
                        <w:t>5</w:t>
                      </w:r>
                      <w:r w:rsidR="006F78C5" w:rsidRPr="00D737C9">
                        <w:rPr>
                          <w:lang w:val="en-GB"/>
                        </w:rPr>
                        <w:t>0</w:t>
                      </w:r>
                      <w:r w:rsidRPr="00D737C9">
                        <w:rPr>
                          <w:lang w:val="en-GB"/>
                        </w:rPr>
                        <w:t>.</w:t>
                      </w:r>
                      <w:r w:rsidR="006F78C5" w:rsidRPr="00D737C9">
                        <w:rPr>
                          <w:lang w:val="en-GB"/>
                        </w:rPr>
                        <w:t>1</w:t>
                      </w:r>
                      <w:r w:rsidRPr="00D737C9">
                        <w:rPr>
                          <w:lang w:val="en-GB"/>
                        </w:rPr>
                        <w:t xml:space="preserve">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14460" w:rsidRPr="00A306AD">
        <w:rPr>
          <w:lang w:val="en-GB"/>
        </w:rPr>
        <w:t xml:space="preserve">Total costs during this period amounted to PLN </w:t>
      </w:r>
      <w:r w:rsidR="008B08C3">
        <w:rPr>
          <w:lang w:val="en-GB"/>
        </w:rPr>
        <w:t>7</w:t>
      </w:r>
      <w:r w:rsidR="00DA534F">
        <w:rPr>
          <w:lang w:val="en-GB"/>
        </w:rPr>
        <w:t>,</w:t>
      </w:r>
      <w:r w:rsidR="008B08C3">
        <w:rPr>
          <w:lang w:val="en-GB"/>
        </w:rPr>
        <w:t>386</w:t>
      </w:r>
      <w:r w:rsidR="00414460" w:rsidRPr="00A306AD">
        <w:rPr>
          <w:lang w:val="en-GB"/>
        </w:rPr>
        <w:t>.</w:t>
      </w:r>
      <w:r w:rsidR="008B08C3">
        <w:rPr>
          <w:lang w:val="en-GB"/>
        </w:rPr>
        <w:t>3</w:t>
      </w:r>
      <w:r w:rsidR="00414460" w:rsidRPr="00A306AD">
        <w:rPr>
          <w:lang w:val="en-GB"/>
        </w:rPr>
        <w:t xml:space="preserve"> million and were 1</w:t>
      </w:r>
      <w:r w:rsidR="008B08C3">
        <w:rPr>
          <w:lang w:val="en-GB"/>
        </w:rPr>
        <w:t>6</w:t>
      </w:r>
      <w:r w:rsidR="00414460" w:rsidRPr="00A306AD">
        <w:rPr>
          <w:lang w:val="en-GB"/>
        </w:rPr>
        <w:t>.</w:t>
      </w:r>
      <w:r w:rsidR="008B08C3">
        <w:rPr>
          <w:lang w:val="en-GB"/>
        </w:rPr>
        <w:t>8</w:t>
      </w:r>
      <w:r w:rsidR="00414460" w:rsidRPr="00A306AD">
        <w:rPr>
          <w:lang w:val="en-GB"/>
        </w:rPr>
        <w:t xml:space="preserve">% higher than </w:t>
      </w:r>
      <w:r w:rsidR="008B08C3" w:rsidRPr="008B08C3">
        <w:rPr>
          <w:lang w:val="en-GB"/>
        </w:rPr>
        <w:t>those incurred a year earlier</w:t>
      </w:r>
      <w:r w:rsidR="00414460" w:rsidRPr="00A306AD">
        <w:rPr>
          <w:lang w:val="en-GB"/>
        </w:rPr>
        <w:t xml:space="preserve">. </w:t>
      </w:r>
      <w:r w:rsidR="008B08C3">
        <w:rPr>
          <w:lang w:val="en-GB"/>
        </w:rPr>
        <w:t>In t</w:t>
      </w:r>
      <w:r w:rsidR="00414460" w:rsidRPr="00A306AD">
        <w:rPr>
          <w:lang w:val="en-GB"/>
        </w:rPr>
        <w:t>he structure of costs</w:t>
      </w:r>
      <w:r w:rsidR="00010C93" w:rsidRPr="00010C93">
        <w:rPr>
          <w:lang w:val="en-GB"/>
        </w:rPr>
        <w:t xml:space="preserve">, 99.1% were operating </w:t>
      </w:r>
      <w:r w:rsidR="00010C93">
        <w:rPr>
          <w:lang w:val="en-GB"/>
        </w:rPr>
        <w:t>costs</w:t>
      </w:r>
      <w:r w:rsidR="00010C93" w:rsidRPr="00010C93">
        <w:rPr>
          <w:lang w:val="en-GB"/>
        </w:rPr>
        <w:t>, 0.8% – other operating costs, and 0.1% – financ</w:t>
      </w:r>
      <w:r w:rsidR="00DA534F">
        <w:rPr>
          <w:lang w:val="en-GB"/>
        </w:rPr>
        <w:t>ial</w:t>
      </w:r>
      <w:r w:rsidR="00010C93" w:rsidRPr="00010C93">
        <w:rPr>
          <w:lang w:val="en-GB"/>
        </w:rPr>
        <w:t xml:space="preserve"> costs. Over 24</w:t>
      </w:r>
      <w:r w:rsidR="00DB01A6">
        <w:rPr>
          <w:lang w:val="en-GB"/>
        </w:rPr>
        <w:t>.</w:t>
      </w:r>
      <w:r w:rsidR="00010C93">
        <w:rPr>
          <w:lang w:val="en-GB"/>
        </w:rPr>
        <w:t>0</w:t>
      </w:r>
      <w:r w:rsidR="00010C93" w:rsidRPr="00010C93">
        <w:rPr>
          <w:lang w:val="en-GB"/>
        </w:rPr>
        <w:t xml:space="preserve">% of all costs were the total costs of cultural institutions from Mazowieckie Voivodship. </w:t>
      </w:r>
      <w:r w:rsidR="00010C93">
        <w:rPr>
          <w:lang w:val="en-GB"/>
        </w:rPr>
        <w:t>I</w:t>
      </w:r>
      <w:r w:rsidR="00010C93" w:rsidRPr="00010C93">
        <w:rPr>
          <w:lang w:val="en-GB"/>
        </w:rPr>
        <w:t xml:space="preserve">n the total costs of cultural institutions </w:t>
      </w:r>
      <w:r w:rsidR="00010C93">
        <w:rPr>
          <w:lang w:val="en-GB"/>
        </w:rPr>
        <w:t>the largest share had t</w:t>
      </w:r>
      <w:r w:rsidR="00010C93" w:rsidRPr="00010C93">
        <w:rPr>
          <w:lang w:val="en-GB"/>
        </w:rPr>
        <w:t xml:space="preserve">he costs of entities operating </w:t>
      </w:r>
      <w:r w:rsidR="00DA534F">
        <w:rPr>
          <w:lang w:val="en-GB"/>
        </w:rPr>
        <w:t>arts</w:t>
      </w:r>
      <w:r w:rsidR="00010C93" w:rsidRPr="00010C93">
        <w:rPr>
          <w:lang w:val="en-GB"/>
        </w:rPr>
        <w:t xml:space="preserve"> facilities</w:t>
      </w:r>
      <w:r w:rsidR="00010C93">
        <w:rPr>
          <w:lang w:val="en-GB"/>
        </w:rPr>
        <w:t xml:space="preserve"> </w:t>
      </w:r>
      <w:r w:rsidR="00010C93" w:rsidRPr="00010C93">
        <w:rPr>
          <w:lang w:val="en-GB"/>
        </w:rPr>
        <w:t>– 40.2%.</w:t>
      </w:r>
      <w:r w:rsidR="00010C93">
        <w:rPr>
          <w:lang w:val="en-GB"/>
        </w:rPr>
        <w:t xml:space="preserve"> </w:t>
      </w:r>
    </w:p>
    <w:p w14:paraId="469F0A9E" w14:textId="1B6F4F8A" w:rsidR="00D243CE" w:rsidRPr="00A306AD" w:rsidRDefault="00D243CE" w:rsidP="00D243CE">
      <w:pPr>
        <w:spacing w:line="288" w:lineRule="auto"/>
        <w:rPr>
          <w:lang w:val="en-GB"/>
        </w:rPr>
      </w:pPr>
      <w:r w:rsidRPr="00A306AD">
        <w:rPr>
          <w:lang w:val="en-GB"/>
        </w:rPr>
        <w:t xml:space="preserve">Gross financial result amounted to PLN </w:t>
      </w:r>
      <w:r w:rsidR="00010C93">
        <w:rPr>
          <w:lang w:val="en-GB"/>
        </w:rPr>
        <w:t>5</w:t>
      </w:r>
      <w:r w:rsidRPr="00A306AD">
        <w:rPr>
          <w:lang w:val="en-GB"/>
        </w:rPr>
        <w:t>5</w:t>
      </w:r>
      <w:r w:rsidR="00010C93">
        <w:rPr>
          <w:lang w:val="en-GB"/>
        </w:rPr>
        <w:t>1</w:t>
      </w:r>
      <w:r w:rsidRPr="00A306AD">
        <w:rPr>
          <w:lang w:val="en-GB"/>
        </w:rPr>
        <w:t>.</w:t>
      </w:r>
      <w:r w:rsidR="00010C93">
        <w:rPr>
          <w:lang w:val="en-GB"/>
        </w:rPr>
        <w:t>1</w:t>
      </w:r>
      <w:r w:rsidRPr="00A306AD">
        <w:rPr>
          <w:lang w:val="en-GB"/>
        </w:rPr>
        <w:t xml:space="preserve"> million (gross profit PLN </w:t>
      </w:r>
      <w:r w:rsidR="00010C93">
        <w:rPr>
          <w:lang w:val="en-GB"/>
        </w:rPr>
        <w:t>618.9</w:t>
      </w:r>
      <w:r w:rsidRPr="00A306AD">
        <w:rPr>
          <w:lang w:val="en-GB"/>
        </w:rPr>
        <w:t xml:space="preserve"> million, gross loss PLN </w:t>
      </w:r>
      <w:r w:rsidR="00010C93">
        <w:rPr>
          <w:lang w:val="en-GB"/>
        </w:rPr>
        <w:t>67</w:t>
      </w:r>
      <w:r w:rsidRPr="00A306AD">
        <w:rPr>
          <w:lang w:val="en-GB"/>
        </w:rPr>
        <w:t xml:space="preserve">.9 million). Net financial result amounted to PLN </w:t>
      </w:r>
      <w:r w:rsidR="00010C93">
        <w:rPr>
          <w:lang w:val="en-GB"/>
        </w:rPr>
        <w:t>550</w:t>
      </w:r>
      <w:r w:rsidRPr="00A306AD">
        <w:rPr>
          <w:lang w:val="en-GB"/>
        </w:rPr>
        <w:t>.</w:t>
      </w:r>
      <w:r w:rsidR="00010C93">
        <w:rPr>
          <w:lang w:val="en-GB"/>
        </w:rPr>
        <w:t>1</w:t>
      </w:r>
      <w:r w:rsidRPr="00A306AD">
        <w:rPr>
          <w:lang w:val="en-GB"/>
        </w:rPr>
        <w:t xml:space="preserve"> million (PLN </w:t>
      </w:r>
      <w:r w:rsidR="00010C93">
        <w:rPr>
          <w:lang w:val="en-GB"/>
        </w:rPr>
        <w:t>451</w:t>
      </w:r>
      <w:r w:rsidRPr="00A306AD">
        <w:rPr>
          <w:lang w:val="en-GB"/>
        </w:rPr>
        <w:t>.</w:t>
      </w:r>
      <w:r w:rsidR="00010C93">
        <w:rPr>
          <w:lang w:val="en-GB"/>
        </w:rPr>
        <w:t>5</w:t>
      </w:r>
      <w:r w:rsidRPr="00A306AD">
        <w:rPr>
          <w:lang w:val="en-GB"/>
        </w:rPr>
        <w:t xml:space="preserve"> million in the previous year), with an increase in net profit (by 1</w:t>
      </w:r>
      <w:r w:rsidR="00A93769">
        <w:rPr>
          <w:lang w:val="en-GB"/>
        </w:rPr>
        <w:t>8</w:t>
      </w:r>
      <w:r w:rsidRPr="00A306AD">
        <w:rPr>
          <w:lang w:val="en-GB"/>
        </w:rPr>
        <w:t>.</w:t>
      </w:r>
      <w:r w:rsidR="00A93769">
        <w:rPr>
          <w:lang w:val="en-GB"/>
        </w:rPr>
        <w:t>8</w:t>
      </w:r>
      <w:r w:rsidRPr="00A306AD">
        <w:rPr>
          <w:lang w:val="en-GB"/>
        </w:rPr>
        <w:t xml:space="preserve">%) and a </w:t>
      </w:r>
      <w:r w:rsidR="00DA534F">
        <w:rPr>
          <w:lang w:val="en-GB"/>
        </w:rPr>
        <w:t>de</w:t>
      </w:r>
      <w:r w:rsidRPr="00A306AD">
        <w:rPr>
          <w:lang w:val="en-GB"/>
        </w:rPr>
        <w:t xml:space="preserve">crease in net loss (by </w:t>
      </w:r>
      <w:r w:rsidR="00AB3AF4">
        <w:rPr>
          <w:lang w:val="en-GB"/>
        </w:rPr>
        <w:t>1</w:t>
      </w:r>
      <w:r w:rsidRPr="00A306AD">
        <w:rPr>
          <w:lang w:val="en-GB"/>
        </w:rPr>
        <w:t>.</w:t>
      </w:r>
      <w:r w:rsidR="00AB3AF4">
        <w:rPr>
          <w:lang w:val="en-GB"/>
        </w:rPr>
        <w:t>1</w:t>
      </w:r>
      <w:r w:rsidRPr="00A306AD">
        <w:rPr>
          <w:lang w:val="en-GB"/>
        </w:rPr>
        <w:t xml:space="preserve">%). </w:t>
      </w:r>
    </w:p>
    <w:p w14:paraId="661EC831" w14:textId="51463F32" w:rsidR="00D243CE" w:rsidRPr="00A306AD" w:rsidRDefault="00D243CE" w:rsidP="00D243CE">
      <w:pPr>
        <w:pStyle w:val="Tytutablicy"/>
        <w:spacing w:before="240"/>
        <w:rPr>
          <w:lang w:val="en-GB"/>
        </w:rPr>
      </w:pPr>
      <w:r w:rsidRPr="00A306AD">
        <w:rPr>
          <w:lang w:val="en-GB"/>
        </w:rPr>
        <w:lastRenderedPageBreak/>
        <w:t>Table 1. Financial results of cultural institutions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80" w:firstRow="0" w:lastRow="0" w:firstColumn="1" w:lastColumn="0" w:noHBand="0" w:noVBand="1"/>
        <w:tblCaption w:val="accessible"/>
      </w:tblPr>
      <w:tblGrid>
        <w:gridCol w:w="3544"/>
        <w:gridCol w:w="1464"/>
        <w:gridCol w:w="1465"/>
        <w:gridCol w:w="1465"/>
      </w:tblGrid>
      <w:tr w:rsidR="00D243CE" w:rsidRPr="00A306AD" w14:paraId="336A48BD" w14:textId="77777777" w:rsidTr="0012445C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5F2FBF5" w14:textId="77777777" w:rsidR="00D243CE" w:rsidRPr="00A306AD" w:rsidRDefault="00D243CE" w:rsidP="0025325D">
            <w:pPr>
              <w:pStyle w:val="Tablicagwka"/>
              <w:rPr>
                <w:lang w:val="en-GB"/>
              </w:rPr>
            </w:pPr>
            <w:r w:rsidRPr="00A306AD">
              <w:rPr>
                <w:lang w:val="en-GB"/>
              </w:rPr>
              <w:t>Specification</w:t>
            </w:r>
          </w:p>
        </w:tc>
        <w:tc>
          <w:tcPr>
            <w:tcW w:w="1464" w:type="dxa"/>
            <w:hideMark/>
          </w:tcPr>
          <w:p w14:paraId="15B8BF06" w14:textId="2AE237A1" w:rsidR="00D243CE" w:rsidRPr="00A306AD" w:rsidRDefault="00D243CE" w:rsidP="0025325D">
            <w:pPr>
              <w:pStyle w:val="Tablicagwkarodek"/>
              <w:rPr>
                <w:lang w:val="en-GB"/>
              </w:rPr>
            </w:pPr>
            <w:r w:rsidRPr="00A306AD">
              <w:rPr>
                <w:lang w:val="en-GB"/>
              </w:rPr>
              <w:t>01–0</w:t>
            </w:r>
            <w:r w:rsidR="00AB3AF4">
              <w:rPr>
                <w:lang w:val="en-GB"/>
              </w:rPr>
              <w:t>6</w:t>
            </w:r>
            <w:r w:rsidRPr="00A306AD">
              <w:rPr>
                <w:lang w:val="en-GB"/>
              </w:rPr>
              <w:t xml:space="preserve"> 2023</w:t>
            </w:r>
          </w:p>
        </w:tc>
        <w:tc>
          <w:tcPr>
            <w:tcW w:w="1465" w:type="dxa"/>
            <w:hideMark/>
          </w:tcPr>
          <w:p w14:paraId="6B84F490" w14:textId="033145D3" w:rsidR="00D243CE" w:rsidRPr="00A306AD" w:rsidRDefault="00D243CE" w:rsidP="0025325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A306AD">
              <w:rPr>
                <w:lang w:val="en-GB"/>
              </w:rPr>
              <w:t>01–0</w:t>
            </w:r>
            <w:r w:rsidR="00AB3AF4">
              <w:rPr>
                <w:lang w:val="en-GB"/>
              </w:rPr>
              <w:t>6</w:t>
            </w:r>
            <w:r w:rsidRPr="00A306AD">
              <w:rPr>
                <w:lang w:val="en-GB"/>
              </w:rPr>
              <w:t xml:space="preserve"> 2024</w:t>
            </w:r>
          </w:p>
        </w:tc>
        <w:tc>
          <w:tcPr>
            <w:tcW w:w="1465" w:type="dxa"/>
            <w:vMerge w:val="restart"/>
            <w:vAlign w:val="center"/>
          </w:tcPr>
          <w:p w14:paraId="66A718AB" w14:textId="27D7F320" w:rsidR="00D243CE" w:rsidRPr="00A306AD" w:rsidRDefault="00D243CE" w:rsidP="0025325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A306AD">
              <w:rPr>
                <w:lang w:val="en-GB"/>
              </w:rPr>
              <w:t>01–0</w:t>
            </w:r>
            <w:r w:rsidR="00AB3AF4">
              <w:rPr>
                <w:lang w:val="en-GB"/>
              </w:rPr>
              <w:t>6</w:t>
            </w:r>
            <w:r w:rsidRPr="00A306AD">
              <w:rPr>
                <w:lang w:val="en-GB"/>
              </w:rPr>
              <w:t xml:space="preserve"> 2023=100</w:t>
            </w:r>
          </w:p>
        </w:tc>
      </w:tr>
      <w:tr w:rsidR="00D243CE" w:rsidRPr="00A306AD" w14:paraId="7CE0D2B4" w14:textId="77777777" w:rsidTr="0012445C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0F7554BA" w14:textId="77777777" w:rsidR="00D243CE" w:rsidRPr="00A306AD" w:rsidRDefault="00D243CE" w:rsidP="0025325D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234023C9" w14:textId="5115B590" w:rsidR="00D243CE" w:rsidRPr="00A306AD" w:rsidRDefault="00D243CE" w:rsidP="0025325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A306AD">
              <w:rPr>
                <w:rFonts w:eastAsia="Fira Sans Light" w:cs="Times New Roman"/>
                <w:lang w:val="en-GB"/>
              </w:rPr>
              <w:t xml:space="preserve">in PLN </w:t>
            </w:r>
            <w:r w:rsidR="00A306AD" w:rsidRPr="00A306AD">
              <w:rPr>
                <w:rFonts w:eastAsia="Fira Sans Light" w:cs="Times New Roman"/>
                <w:lang w:val="en-GB"/>
              </w:rPr>
              <w:t>million</w:t>
            </w:r>
          </w:p>
        </w:tc>
        <w:tc>
          <w:tcPr>
            <w:tcW w:w="1465" w:type="dxa"/>
            <w:vMerge/>
            <w:hideMark/>
          </w:tcPr>
          <w:p w14:paraId="6EA9A30B" w14:textId="77777777" w:rsidR="00D243CE" w:rsidRPr="00A306AD" w:rsidRDefault="00D243CE" w:rsidP="0025325D">
            <w:pPr>
              <w:pStyle w:val="Tablicagwkarodek"/>
              <w:rPr>
                <w:rFonts w:eastAsia="Fira Sans Light" w:cs="Times New Roman"/>
                <w:lang w:val="en-GB"/>
              </w:rPr>
            </w:pPr>
          </w:p>
        </w:tc>
      </w:tr>
      <w:tr w:rsidR="00AB3AF4" w:rsidRPr="00A306AD" w14:paraId="59A4C1E3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58005161" w14:textId="77777777" w:rsidR="00AB3AF4" w:rsidRPr="00A306AD" w:rsidRDefault="00AB3AF4" w:rsidP="00AB3AF4">
            <w:pPr>
              <w:pStyle w:val="Tablicaboczek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Total revenues</w:t>
            </w:r>
          </w:p>
        </w:tc>
        <w:tc>
          <w:tcPr>
            <w:tcW w:w="1464" w:type="dxa"/>
            <w:vAlign w:val="center"/>
          </w:tcPr>
          <w:p w14:paraId="1F3ED82C" w14:textId="4335C5CE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6,775.8</w:t>
            </w:r>
          </w:p>
        </w:tc>
        <w:tc>
          <w:tcPr>
            <w:tcW w:w="1465" w:type="dxa"/>
            <w:vAlign w:val="center"/>
          </w:tcPr>
          <w:p w14:paraId="48F7D2F8" w14:textId="79358E23" w:rsidR="00AB3AF4" w:rsidRPr="00A306AD" w:rsidRDefault="00AB3AF4" w:rsidP="00DA534F">
            <w:pPr>
              <w:pStyle w:val="Tablicadanerodek"/>
              <w:rPr>
                <w:lang w:val="en-GB"/>
              </w:rPr>
            </w:pPr>
            <w:r>
              <w:t>7</w:t>
            </w:r>
            <w:r w:rsidR="00DA534F">
              <w:t>,</w:t>
            </w:r>
            <w:r>
              <w:t>937.4</w:t>
            </w:r>
          </w:p>
        </w:tc>
        <w:tc>
          <w:tcPr>
            <w:tcW w:w="1465" w:type="dxa"/>
            <w:noWrap/>
            <w:vAlign w:val="center"/>
          </w:tcPr>
          <w:p w14:paraId="66655CC4" w14:textId="583AEFDC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117.1</w:t>
            </w:r>
          </w:p>
        </w:tc>
      </w:tr>
      <w:tr w:rsidR="00AB3AF4" w:rsidRPr="00A306AD" w14:paraId="1E44530A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20AF16E1" w14:textId="77777777" w:rsidR="00AB3AF4" w:rsidRPr="00A306AD" w:rsidRDefault="00AB3AF4" w:rsidP="00AB3AF4">
            <w:pPr>
              <w:pStyle w:val="Tablicaboczek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Total costs</w:t>
            </w:r>
          </w:p>
        </w:tc>
        <w:tc>
          <w:tcPr>
            <w:tcW w:w="1464" w:type="dxa"/>
            <w:vAlign w:val="center"/>
            <w:hideMark/>
          </w:tcPr>
          <w:p w14:paraId="780D816A" w14:textId="60A9BD70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6,323.4</w:t>
            </w:r>
          </w:p>
        </w:tc>
        <w:tc>
          <w:tcPr>
            <w:tcW w:w="1465" w:type="dxa"/>
            <w:vAlign w:val="center"/>
            <w:hideMark/>
          </w:tcPr>
          <w:p w14:paraId="392AAAE1" w14:textId="131ED07D" w:rsidR="00AB3AF4" w:rsidRPr="00A306AD" w:rsidRDefault="00DA534F" w:rsidP="00AB3AF4">
            <w:pPr>
              <w:pStyle w:val="Tablicadanerodek"/>
              <w:rPr>
                <w:highlight w:val="yellow"/>
                <w:lang w:val="en-GB"/>
              </w:rPr>
            </w:pPr>
            <w:r>
              <w:t>7,</w:t>
            </w:r>
            <w:r w:rsidR="00AB3AF4">
              <w:t>386.3</w:t>
            </w:r>
          </w:p>
        </w:tc>
        <w:tc>
          <w:tcPr>
            <w:tcW w:w="1465" w:type="dxa"/>
            <w:noWrap/>
            <w:vAlign w:val="center"/>
            <w:hideMark/>
          </w:tcPr>
          <w:p w14:paraId="34EA5ED1" w14:textId="615FA094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116.8</w:t>
            </w:r>
          </w:p>
        </w:tc>
      </w:tr>
      <w:tr w:rsidR="00AB3AF4" w:rsidRPr="00A306AD" w14:paraId="34AA08DE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E327BAD" w14:textId="77777777" w:rsidR="00AB3AF4" w:rsidRPr="00A306AD" w:rsidRDefault="00AB3AF4" w:rsidP="00AB3AF4">
            <w:pPr>
              <w:pStyle w:val="Tablicaboczek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Gross financial result</w:t>
            </w:r>
          </w:p>
        </w:tc>
        <w:tc>
          <w:tcPr>
            <w:tcW w:w="1464" w:type="dxa"/>
            <w:vAlign w:val="center"/>
            <w:hideMark/>
          </w:tcPr>
          <w:p w14:paraId="31BF7BE8" w14:textId="159F561F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452.4</w:t>
            </w:r>
          </w:p>
        </w:tc>
        <w:tc>
          <w:tcPr>
            <w:tcW w:w="1465" w:type="dxa"/>
            <w:vAlign w:val="center"/>
            <w:hideMark/>
          </w:tcPr>
          <w:p w14:paraId="1A0147E1" w14:textId="76CDB1F8" w:rsidR="00AB3AF4" w:rsidRPr="00A306AD" w:rsidRDefault="00AB3AF4" w:rsidP="00AB3AF4">
            <w:pPr>
              <w:pStyle w:val="Tablicadanerodek"/>
              <w:rPr>
                <w:highlight w:val="yellow"/>
                <w:lang w:val="en-GB"/>
              </w:rPr>
            </w:pPr>
            <w:r>
              <w:t>551.1</w:t>
            </w:r>
          </w:p>
        </w:tc>
        <w:tc>
          <w:tcPr>
            <w:tcW w:w="1465" w:type="dxa"/>
            <w:noWrap/>
            <w:vAlign w:val="center"/>
            <w:hideMark/>
          </w:tcPr>
          <w:p w14:paraId="3E2F38FD" w14:textId="1B2CC82B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121.8</w:t>
            </w:r>
          </w:p>
        </w:tc>
      </w:tr>
      <w:tr w:rsidR="00AB3AF4" w:rsidRPr="00A306AD" w14:paraId="51553339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A230702" w14:textId="77777777" w:rsidR="00AB3AF4" w:rsidRPr="00A306AD" w:rsidRDefault="00AB3AF4" w:rsidP="00AB3AF4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A306AD">
              <w:rPr>
                <w:rFonts w:cs="Fira Sans"/>
                <w:spacing w:val="-1"/>
                <w:lang w:val="en-GB"/>
              </w:rPr>
              <w:t>Net financial result</w:t>
            </w:r>
          </w:p>
        </w:tc>
        <w:tc>
          <w:tcPr>
            <w:tcW w:w="1464" w:type="dxa"/>
            <w:vAlign w:val="center"/>
          </w:tcPr>
          <w:p w14:paraId="2CD0DA2E" w14:textId="4A695EF8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451.5</w:t>
            </w:r>
          </w:p>
        </w:tc>
        <w:tc>
          <w:tcPr>
            <w:tcW w:w="1465" w:type="dxa"/>
            <w:vAlign w:val="center"/>
          </w:tcPr>
          <w:p w14:paraId="634ED353" w14:textId="2BF8FB16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550.1</w:t>
            </w:r>
          </w:p>
        </w:tc>
        <w:tc>
          <w:tcPr>
            <w:tcW w:w="1465" w:type="dxa"/>
            <w:noWrap/>
            <w:vAlign w:val="center"/>
          </w:tcPr>
          <w:p w14:paraId="620E1554" w14:textId="1632E579" w:rsidR="00AB3AF4" w:rsidRPr="00A306AD" w:rsidRDefault="00AB3AF4" w:rsidP="00DA534F">
            <w:pPr>
              <w:pStyle w:val="Tablicadanerodek"/>
              <w:rPr>
                <w:lang w:val="en-GB"/>
              </w:rPr>
            </w:pPr>
            <w:r>
              <w:t>121</w:t>
            </w:r>
            <w:r w:rsidR="00DA534F">
              <w:t>.</w:t>
            </w:r>
            <w:r>
              <w:t>8</w:t>
            </w:r>
          </w:p>
        </w:tc>
      </w:tr>
      <w:tr w:rsidR="00AB3AF4" w:rsidRPr="00A306AD" w14:paraId="5D43FBF6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4C9AE746" w14:textId="77777777" w:rsidR="00AB3AF4" w:rsidRPr="00A306AD" w:rsidRDefault="00AB3AF4" w:rsidP="00AB3AF4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A306AD">
              <w:rPr>
                <w:rFonts w:cs="Fira Sans"/>
                <w:spacing w:val="-1"/>
                <w:lang w:val="en-GB"/>
              </w:rPr>
              <w:t>Net profit</w:t>
            </w:r>
          </w:p>
        </w:tc>
        <w:tc>
          <w:tcPr>
            <w:tcW w:w="1464" w:type="dxa"/>
            <w:vAlign w:val="center"/>
          </w:tcPr>
          <w:p w14:paraId="6DA752E6" w14:textId="430DFA90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520.3</w:t>
            </w:r>
          </w:p>
        </w:tc>
        <w:tc>
          <w:tcPr>
            <w:tcW w:w="1465" w:type="dxa"/>
            <w:vAlign w:val="center"/>
          </w:tcPr>
          <w:p w14:paraId="47244607" w14:textId="6E3270A4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618.1</w:t>
            </w:r>
          </w:p>
        </w:tc>
        <w:tc>
          <w:tcPr>
            <w:tcW w:w="1465" w:type="dxa"/>
            <w:noWrap/>
            <w:vAlign w:val="center"/>
          </w:tcPr>
          <w:p w14:paraId="559F59C7" w14:textId="66E98307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118.8</w:t>
            </w:r>
          </w:p>
        </w:tc>
      </w:tr>
      <w:tr w:rsidR="00AB3AF4" w:rsidRPr="00A306AD" w14:paraId="09B1F117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1425EFF3" w14:textId="77777777" w:rsidR="00AB3AF4" w:rsidRPr="00A306AD" w:rsidRDefault="00AB3AF4" w:rsidP="00AB3AF4">
            <w:pPr>
              <w:pStyle w:val="Tablicaboczekwcicie2"/>
              <w:ind w:left="0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Net loss</w:t>
            </w:r>
          </w:p>
        </w:tc>
        <w:tc>
          <w:tcPr>
            <w:tcW w:w="1464" w:type="dxa"/>
            <w:vAlign w:val="center"/>
          </w:tcPr>
          <w:p w14:paraId="0E73001E" w14:textId="11DE198C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68.7</w:t>
            </w:r>
          </w:p>
        </w:tc>
        <w:tc>
          <w:tcPr>
            <w:tcW w:w="1465" w:type="dxa"/>
            <w:vAlign w:val="center"/>
          </w:tcPr>
          <w:p w14:paraId="6CD83345" w14:textId="5B2A0137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68.0</w:t>
            </w:r>
          </w:p>
        </w:tc>
        <w:tc>
          <w:tcPr>
            <w:tcW w:w="1465" w:type="dxa"/>
            <w:noWrap/>
            <w:vAlign w:val="center"/>
          </w:tcPr>
          <w:p w14:paraId="3D33DCFF" w14:textId="71AB0FA1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98.9</w:t>
            </w:r>
          </w:p>
        </w:tc>
      </w:tr>
      <w:tr w:rsidR="00AB3AF4" w:rsidRPr="00A306AD" w14:paraId="24C0903F" w14:textId="77777777" w:rsidTr="0012445C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0A7AB9A7" w14:textId="77777777" w:rsidR="00AB3AF4" w:rsidRPr="00A306AD" w:rsidRDefault="00AB3AF4" w:rsidP="00AB3AF4">
            <w:pPr>
              <w:pStyle w:val="Tablicaboczek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Investment outlays</w:t>
            </w:r>
          </w:p>
        </w:tc>
        <w:tc>
          <w:tcPr>
            <w:tcW w:w="1464" w:type="dxa"/>
            <w:vAlign w:val="center"/>
            <w:hideMark/>
          </w:tcPr>
          <w:p w14:paraId="2130FB49" w14:textId="1F9B6DEA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660.1</w:t>
            </w:r>
          </w:p>
        </w:tc>
        <w:tc>
          <w:tcPr>
            <w:tcW w:w="1465" w:type="dxa"/>
            <w:vAlign w:val="center"/>
            <w:hideMark/>
          </w:tcPr>
          <w:p w14:paraId="6F24DB29" w14:textId="6C642684" w:rsidR="00AB3AF4" w:rsidRPr="00A306AD" w:rsidRDefault="00AB3AF4" w:rsidP="00AB3AF4">
            <w:pPr>
              <w:pStyle w:val="Tablicadanerodek"/>
              <w:rPr>
                <w:highlight w:val="yellow"/>
                <w:lang w:val="en-GB"/>
              </w:rPr>
            </w:pPr>
            <w:r>
              <w:t>574.4</w:t>
            </w:r>
          </w:p>
        </w:tc>
        <w:tc>
          <w:tcPr>
            <w:tcW w:w="1465" w:type="dxa"/>
            <w:noWrap/>
            <w:vAlign w:val="center"/>
            <w:hideMark/>
          </w:tcPr>
          <w:p w14:paraId="73F8A436" w14:textId="33F6C85C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87.0</w:t>
            </w:r>
          </w:p>
        </w:tc>
      </w:tr>
      <w:tr w:rsidR="00AB3AF4" w:rsidRPr="00A306AD" w14:paraId="7045E837" w14:textId="77777777" w:rsidTr="0012445C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0A6A98A2" w14:textId="77777777" w:rsidR="00AB3AF4" w:rsidRPr="00A306AD" w:rsidRDefault="00AB3AF4" w:rsidP="00AB3AF4">
            <w:pPr>
              <w:pStyle w:val="Tablicaboczek"/>
              <w:ind w:left="176" w:hanging="176"/>
              <w:rPr>
                <w:rFonts w:cs="Fira Sans"/>
                <w:spacing w:val="-1"/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Outlays on intangible fixed assets</w:t>
            </w:r>
          </w:p>
        </w:tc>
        <w:tc>
          <w:tcPr>
            <w:tcW w:w="1464" w:type="dxa"/>
            <w:vAlign w:val="bottom"/>
          </w:tcPr>
          <w:p w14:paraId="366E26DD" w14:textId="7674EB52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19.2</w:t>
            </w:r>
          </w:p>
        </w:tc>
        <w:tc>
          <w:tcPr>
            <w:tcW w:w="1465" w:type="dxa"/>
            <w:vAlign w:val="bottom"/>
          </w:tcPr>
          <w:p w14:paraId="3AD5C5FA" w14:textId="354AE84F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7.5</w:t>
            </w:r>
          </w:p>
        </w:tc>
        <w:tc>
          <w:tcPr>
            <w:tcW w:w="1465" w:type="dxa"/>
            <w:noWrap/>
            <w:vAlign w:val="bottom"/>
          </w:tcPr>
          <w:p w14:paraId="3618CB8E" w14:textId="1DD4415A" w:rsidR="00AB3AF4" w:rsidRPr="00A306AD" w:rsidRDefault="00AB3AF4" w:rsidP="00AB3AF4">
            <w:pPr>
              <w:pStyle w:val="Tablicadanerodek"/>
              <w:rPr>
                <w:lang w:val="en-GB"/>
              </w:rPr>
            </w:pPr>
            <w:r>
              <w:t>39.3</w:t>
            </w:r>
          </w:p>
        </w:tc>
      </w:tr>
    </w:tbl>
    <w:p w14:paraId="71F5253A" w14:textId="203111B2" w:rsidR="00A16133" w:rsidRPr="00A306AD" w:rsidRDefault="00AB3AF4" w:rsidP="00A16133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 xml:space="preserve">n the first </w:t>
      </w:r>
      <w:r w:rsidR="001967F8">
        <w:rPr>
          <w:rFonts w:eastAsia="Times New Roman" w:cs="Fira Sans"/>
          <w:spacing w:val="-1"/>
          <w:szCs w:val="19"/>
          <w:lang w:val="en-GB" w:eastAsia="pl-PL"/>
        </w:rPr>
        <w:t>half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 xml:space="preserve"> of 2024 </w:t>
      </w:r>
      <w:r>
        <w:rPr>
          <w:rFonts w:eastAsia="Times New Roman" w:cs="Fira Sans"/>
          <w:spacing w:val="-1"/>
          <w:szCs w:val="19"/>
          <w:lang w:val="en-GB" w:eastAsia="pl-PL"/>
        </w:rPr>
        <w:t>t</w:t>
      </w:r>
      <w:r w:rsidR="00A16133" w:rsidRPr="00A306AD">
        <w:rPr>
          <w:rFonts w:eastAsia="Times New Roman" w:cs="Fira Sans"/>
          <w:spacing w:val="-1"/>
          <w:szCs w:val="19"/>
          <w:lang w:val="en-GB" w:eastAsia="pl-PL"/>
        </w:rPr>
        <w:t xml:space="preserve">he investment outlays of cultural institutions amounted to PLN </w:t>
      </w:r>
      <w:r>
        <w:rPr>
          <w:rFonts w:eastAsia="Times New Roman" w:cs="Fira Sans"/>
          <w:spacing w:val="-1"/>
          <w:szCs w:val="19"/>
          <w:lang w:val="en-GB" w:eastAsia="pl-PL"/>
        </w:rPr>
        <w:t>574</w:t>
      </w:r>
      <w:r w:rsidR="00A16133" w:rsidRPr="00A306AD">
        <w:rPr>
          <w:rFonts w:eastAsia="Times New Roman" w:cs="Fira Sans"/>
          <w:spacing w:val="-1"/>
          <w:szCs w:val="19"/>
          <w:lang w:val="en-GB" w:eastAsia="pl-PL"/>
        </w:rPr>
        <w:t>.</w:t>
      </w:r>
      <w:r>
        <w:rPr>
          <w:rFonts w:eastAsia="Times New Roman" w:cs="Fira Sans"/>
          <w:spacing w:val="-1"/>
          <w:szCs w:val="19"/>
          <w:lang w:val="en-GB" w:eastAsia="pl-PL"/>
        </w:rPr>
        <w:t>4</w:t>
      </w:r>
      <w:r w:rsidR="00A16133" w:rsidRPr="00A306AD">
        <w:rPr>
          <w:rFonts w:eastAsia="Times New Roman" w:cs="Fira Sans"/>
          <w:spacing w:val="-1"/>
          <w:szCs w:val="19"/>
          <w:lang w:val="en-GB" w:eastAsia="pl-PL"/>
        </w:rPr>
        <w:t xml:space="preserve"> million and were </w:t>
      </w:r>
      <w:r>
        <w:rPr>
          <w:rFonts w:eastAsia="Times New Roman" w:cs="Fira Sans"/>
          <w:spacing w:val="-1"/>
          <w:szCs w:val="19"/>
          <w:lang w:val="en-GB" w:eastAsia="pl-PL"/>
        </w:rPr>
        <w:t>13</w:t>
      </w:r>
      <w:r w:rsidR="004C58D4">
        <w:rPr>
          <w:rFonts w:eastAsia="Times New Roman" w:cs="Fira Sans"/>
          <w:spacing w:val="-1"/>
          <w:szCs w:val="19"/>
          <w:lang w:val="en-GB" w:eastAsia="pl-PL"/>
        </w:rPr>
        <w:t>.</w:t>
      </w:r>
      <w:r>
        <w:rPr>
          <w:rFonts w:eastAsia="Times New Roman" w:cs="Fira Sans"/>
          <w:spacing w:val="-1"/>
          <w:szCs w:val="19"/>
          <w:lang w:val="en-GB" w:eastAsia="pl-PL"/>
        </w:rPr>
        <w:t>0% lowe</w:t>
      </w:r>
      <w:r w:rsidR="00A16133" w:rsidRPr="00A306AD">
        <w:rPr>
          <w:rFonts w:eastAsia="Times New Roman" w:cs="Fira Sans"/>
          <w:spacing w:val="-1"/>
          <w:szCs w:val="19"/>
          <w:lang w:val="en-GB" w:eastAsia="pl-PL"/>
        </w:rPr>
        <w:t xml:space="preserve">r </w:t>
      </w:r>
      <w:r>
        <w:rPr>
          <w:rFonts w:eastAsia="Times New Roman" w:cs="Fira Sans"/>
          <w:spacing w:val="-1"/>
          <w:szCs w:val="19"/>
          <w:lang w:val="en-GB" w:eastAsia="pl-PL"/>
        </w:rPr>
        <w:t>than</w:t>
      </w:r>
      <w:r w:rsidR="00A16133" w:rsidRPr="00A306AD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a year earlier</w:t>
      </w:r>
      <w:r w:rsidR="00A16133" w:rsidRPr="00A306AD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 w:rsidR="006D1899" w:rsidRPr="006D1899">
        <w:rPr>
          <w:rFonts w:eastAsia="Times New Roman" w:cs="Fira Sans"/>
          <w:spacing w:val="-1"/>
          <w:szCs w:val="19"/>
          <w:lang w:val="en-GB" w:eastAsia="pl-PL"/>
        </w:rPr>
        <w:t xml:space="preserve">Almost 45% of all investment outlays of cultural institutions were total investment outlays of entities located in </w:t>
      </w:r>
      <w:proofErr w:type="spellStart"/>
      <w:r w:rsidR="006D1899" w:rsidRPr="006D1899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="006D1899" w:rsidRPr="006D1899">
        <w:rPr>
          <w:rFonts w:eastAsia="Times New Roman" w:cs="Fira Sans"/>
          <w:spacing w:val="-1"/>
          <w:szCs w:val="19"/>
          <w:lang w:val="en-GB" w:eastAsia="pl-PL"/>
        </w:rPr>
        <w:t xml:space="preserve"> Voivodeship.</w:t>
      </w:r>
      <w:r w:rsidR="006D1899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</w:p>
    <w:p w14:paraId="06853EC5" w14:textId="6B8A4D46" w:rsidR="006D1899" w:rsidRPr="00A306AD" w:rsidRDefault="00A16133" w:rsidP="00A16133">
      <w:pPr>
        <w:spacing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 w:rsidRPr="00A306AD">
        <w:rPr>
          <w:rFonts w:eastAsia="Times New Roman" w:cs="Fira Sans"/>
          <w:spacing w:val="-1"/>
          <w:szCs w:val="19"/>
          <w:lang w:val="en-GB" w:eastAsia="pl-PL"/>
        </w:rPr>
        <w:t xml:space="preserve">Investment outlays incurred by </w:t>
      </w:r>
      <w:r w:rsidR="009B566C" w:rsidRPr="00A306AD">
        <w:rPr>
          <w:rFonts w:eastAsia="Times New Roman" w:cs="Fira Sans"/>
          <w:spacing w:val="-1"/>
          <w:szCs w:val="19"/>
          <w:lang w:val="en-GB" w:eastAsia="pl-PL"/>
        </w:rPr>
        <w:t>national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 xml:space="preserve"> cultural institutions amounted to PLN </w:t>
      </w:r>
      <w:r w:rsidR="006D1899">
        <w:rPr>
          <w:rFonts w:eastAsia="Times New Roman" w:cs="Fira Sans"/>
          <w:spacing w:val="-1"/>
          <w:szCs w:val="19"/>
          <w:lang w:val="en-GB" w:eastAsia="pl-PL"/>
        </w:rPr>
        <w:t>299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>.</w:t>
      </w:r>
      <w:r w:rsidR="006D1899">
        <w:rPr>
          <w:rFonts w:eastAsia="Times New Roman" w:cs="Fira Sans"/>
          <w:spacing w:val="-1"/>
          <w:szCs w:val="19"/>
          <w:lang w:val="en-GB" w:eastAsia="pl-PL"/>
        </w:rPr>
        <w:t>3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 xml:space="preserve"> million, i.e. 5</w:t>
      </w:r>
      <w:r w:rsidR="006D1899">
        <w:rPr>
          <w:rFonts w:eastAsia="Times New Roman" w:cs="Fira Sans"/>
          <w:spacing w:val="-1"/>
          <w:szCs w:val="19"/>
          <w:lang w:val="en-GB" w:eastAsia="pl-PL"/>
        </w:rPr>
        <w:t>2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>.</w:t>
      </w:r>
      <w:r w:rsidR="006D1899">
        <w:rPr>
          <w:rFonts w:eastAsia="Times New Roman" w:cs="Fira Sans"/>
          <w:spacing w:val="-1"/>
          <w:szCs w:val="19"/>
          <w:lang w:val="en-GB" w:eastAsia="pl-PL"/>
        </w:rPr>
        <w:t>1</w:t>
      </w:r>
      <w:r w:rsidRPr="00A306AD">
        <w:rPr>
          <w:rFonts w:eastAsia="Times New Roman" w:cs="Fira Sans"/>
          <w:spacing w:val="-1"/>
          <w:szCs w:val="19"/>
          <w:lang w:val="en-GB" w:eastAsia="pl-PL"/>
        </w:rPr>
        <w:t>% of the total amount of investment outlays.</w:t>
      </w:r>
    </w:p>
    <w:p w14:paraId="3688FD1D" w14:textId="332F30EE" w:rsidR="00A16133" w:rsidRDefault="00B15492" w:rsidP="00B67F00">
      <w:pPr>
        <w:pStyle w:val="Tytuwykresu0"/>
        <w:spacing w:after="0"/>
        <w:ind w:left="709" w:hanging="709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anchor distT="0" distB="0" distL="114300" distR="114300" simplePos="0" relativeHeight="251883520" behindDoc="0" locked="0" layoutInCell="1" allowOverlap="1" wp14:anchorId="3E020704" wp14:editId="3BFD7604">
            <wp:simplePos x="0" y="0"/>
            <wp:positionH relativeFrom="margin">
              <wp:align>left</wp:align>
            </wp:positionH>
            <wp:positionV relativeFrom="paragraph">
              <wp:posOffset>346103</wp:posOffset>
            </wp:positionV>
            <wp:extent cx="5200015" cy="2440940"/>
            <wp:effectExtent l="0" t="0" r="0" b="0"/>
            <wp:wrapTopAndBottom/>
            <wp:docPr id="13" name="Obraz 13" descr="Chart 1. The pie chart presenting the structure of investment outlays of cultural institutions by legal forms in the first half of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542" cy="244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08B" w:rsidRPr="00A306AD">
        <w:rPr>
          <w:rFonts w:ascii="Fira Sans" w:hAnsi="Fira Sans"/>
          <w:lang w:val="en-GB"/>
        </w:rPr>
        <w:t xml:space="preserve">Chart 1. Investment outlays of cultural institutions by legal forms in the first </w:t>
      </w:r>
      <w:r w:rsidR="006D1899">
        <w:rPr>
          <w:rFonts w:ascii="Fira Sans" w:hAnsi="Fira Sans"/>
          <w:lang w:val="en-GB"/>
        </w:rPr>
        <w:t>half</w:t>
      </w:r>
      <w:r w:rsidR="00B4408B" w:rsidRPr="00A306AD">
        <w:rPr>
          <w:rFonts w:ascii="Fira Sans" w:hAnsi="Fira Sans"/>
          <w:lang w:val="en-GB"/>
        </w:rPr>
        <w:t xml:space="preserve"> of 2024</w:t>
      </w:r>
    </w:p>
    <w:p w14:paraId="21F7A428" w14:textId="17ECD7E0" w:rsidR="006D1899" w:rsidRPr="006D1899" w:rsidRDefault="006D1899" w:rsidP="00B15492">
      <w:pPr>
        <w:spacing w:line="288" w:lineRule="auto"/>
        <w:rPr>
          <w:b/>
          <w:lang w:val="en-GB"/>
        </w:rPr>
      </w:pPr>
      <w:r w:rsidRPr="006D1899">
        <w:rPr>
          <w:lang w:val="en-GB"/>
        </w:rPr>
        <w:t>In the first half of 202</w:t>
      </w:r>
      <w:r>
        <w:rPr>
          <w:lang w:val="en-GB"/>
        </w:rPr>
        <w:t>4</w:t>
      </w:r>
      <w:r w:rsidRPr="006D1899">
        <w:rPr>
          <w:lang w:val="en-GB"/>
        </w:rPr>
        <w:t xml:space="preserve"> outlays of cultural institutions on intangible </w:t>
      </w:r>
      <w:r w:rsidR="008C5D0E">
        <w:rPr>
          <w:lang w:val="en-GB"/>
        </w:rPr>
        <w:t>fixed assets</w:t>
      </w:r>
      <w:r w:rsidRPr="006D1899">
        <w:rPr>
          <w:lang w:val="en-GB"/>
        </w:rPr>
        <w:t xml:space="preserve"> decreased more than twice compared to the same period of the previous year and amounted to PLN 7.5 million. Over 28</w:t>
      </w:r>
      <w:r w:rsidR="00DB01A6">
        <w:rPr>
          <w:b/>
          <w:lang w:val="en-GB"/>
        </w:rPr>
        <w:t>.</w:t>
      </w:r>
      <w:r>
        <w:rPr>
          <w:lang w:val="en-GB"/>
        </w:rPr>
        <w:t>0</w:t>
      </w:r>
      <w:r w:rsidRPr="006D1899">
        <w:rPr>
          <w:lang w:val="en-GB"/>
        </w:rPr>
        <w:t xml:space="preserve">% of all </w:t>
      </w:r>
      <w:r w:rsidR="008C5D0E">
        <w:rPr>
          <w:lang w:val="en-GB"/>
        </w:rPr>
        <w:t>outlays</w:t>
      </w:r>
      <w:r w:rsidRPr="006D1899">
        <w:rPr>
          <w:lang w:val="en-GB"/>
        </w:rPr>
        <w:t xml:space="preserve"> on intangible </w:t>
      </w:r>
      <w:r w:rsidR="008C5D0E">
        <w:rPr>
          <w:lang w:val="en-GB"/>
        </w:rPr>
        <w:t xml:space="preserve">fixed </w:t>
      </w:r>
      <w:r w:rsidRPr="006D1899">
        <w:rPr>
          <w:lang w:val="en-GB"/>
        </w:rPr>
        <w:t>assets came from Mazowieckie Voivodship.</w:t>
      </w:r>
    </w:p>
    <w:p w14:paraId="2BFE297D" w14:textId="44A98FCD" w:rsidR="00B6028F" w:rsidRPr="00A306AD" w:rsidRDefault="00B6028F" w:rsidP="00B6028F">
      <w:pPr>
        <w:pStyle w:val="Tytutablicy"/>
        <w:ind w:left="709" w:hanging="709"/>
        <w:rPr>
          <w:lang w:val="en-GB"/>
        </w:rPr>
      </w:pPr>
      <w:r w:rsidRPr="00A306AD">
        <w:rPr>
          <w:lang w:val="en-GB"/>
        </w:rPr>
        <w:lastRenderedPageBreak/>
        <w:t xml:space="preserve">Table 2. Total revenues and total costs of cultural institutions by selected divisions and classes of PKD classification in the first </w:t>
      </w:r>
      <w:r w:rsidR="003C55B8">
        <w:rPr>
          <w:lang w:val="en-GB"/>
        </w:rPr>
        <w:t>half</w:t>
      </w:r>
      <w:r w:rsidRPr="00A306AD">
        <w:rPr>
          <w:lang w:val="en-GB"/>
        </w:rPr>
        <w:t xml:space="preserve"> of 2024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  <w:tblCaption w:val="accessible"/>
      </w:tblPr>
      <w:tblGrid>
        <w:gridCol w:w="3969"/>
        <w:gridCol w:w="1229"/>
        <w:gridCol w:w="1230"/>
        <w:gridCol w:w="1230"/>
      </w:tblGrid>
      <w:tr w:rsidR="00B6028F" w:rsidRPr="00A306AD" w14:paraId="57C744E9" w14:textId="77777777" w:rsidTr="0012445C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8A59F4" w14:textId="77777777" w:rsidR="00B6028F" w:rsidRPr="00A306AD" w:rsidRDefault="00B6028F" w:rsidP="0025325D">
            <w:pPr>
              <w:pStyle w:val="Tablicagwka"/>
              <w:spacing w:before="0" w:after="0"/>
              <w:ind w:left="0"/>
              <w:jc w:val="center"/>
              <w:rPr>
                <w:lang w:val="en-GB"/>
              </w:rPr>
            </w:pPr>
            <w:r w:rsidRPr="00A306AD">
              <w:rPr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D2A9" w14:textId="77777777" w:rsidR="00B6028F" w:rsidRPr="00A306AD" w:rsidRDefault="00B6028F" w:rsidP="0025325D">
            <w:pPr>
              <w:pStyle w:val="Tablicagwkarodek"/>
              <w:suppressAutoHyphens/>
              <w:spacing w:before="0" w:after="0"/>
              <w:rPr>
                <w:lang w:val="en-GB"/>
              </w:rPr>
            </w:pPr>
            <w:r w:rsidRPr="00A306AD">
              <w:rPr>
                <w:lang w:val="en-GB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038240" w14:textId="77777777" w:rsidR="00B6028F" w:rsidRPr="00A306AD" w:rsidRDefault="00B6028F" w:rsidP="0025325D">
            <w:pPr>
              <w:pStyle w:val="Tablicagwkarodek"/>
              <w:spacing w:before="0" w:after="0"/>
              <w:rPr>
                <w:lang w:val="en-GB"/>
              </w:rPr>
            </w:pPr>
            <w:r w:rsidRPr="00A306AD">
              <w:rPr>
                <w:lang w:val="en-GB"/>
              </w:rPr>
              <w:t>Total revenues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A9E08C9" w14:textId="77777777" w:rsidR="009B566C" w:rsidRPr="00A306AD" w:rsidRDefault="00B6028F" w:rsidP="0025325D">
            <w:pPr>
              <w:pStyle w:val="Tablicagwkarodek"/>
              <w:spacing w:before="0" w:after="0"/>
              <w:rPr>
                <w:lang w:val="en-GB"/>
              </w:rPr>
            </w:pPr>
            <w:r w:rsidRPr="00A306AD">
              <w:rPr>
                <w:lang w:val="en-GB"/>
              </w:rPr>
              <w:t xml:space="preserve">Total </w:t>
            </w:r>
          </w:p>
          <w:p w14:paraId="4DA89775" w14:textId="3BC3CD74" w:rsidR="00B6028F" w:rsidRPr="00A306AD" w:rsidRDefault="00B6028F" w:rsidP="0025325D">
            <w:pPr>
              <w:pStyle w:val="Tablicagwkarodek"/>
              <w:spacing w:before="0" w:after="0"/>
              <w:rPr>
                <w:lang w:val="en-GB"/>
              </w:rPr>
            </w:pPr>
            <w:r w:rsidRPr="00A306AD">
              <w:rPr>
                <w:lang w:val="en-GB"/>
              </w:rPr>
              <w:t>costs</w:t>
            </w:r>
          </w:p>
        </w:tc>
      </w:tr>
      <w:tr w:rsidR="00B6028F" w:rsidRPr="00A306AD" w14:paraId="2820C3D0" w14:textId="77777777" w:rsidTr="0012445C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12AB7D95" w14:textId="77777777" w:rsidR="00B6028F" w:rsidRPr="00A306AD" w:rsidRDefault="00B6028F" w:rsidP="0025325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57FD75EC" w14:textId="77777777" w:rsidR="00B6028F" w:rsidRPr="00A306AD" w:rsidRDefault="00B6028F" w:rsidP="0025325D">
            <w:pPr>
              <w:pStyle w:val="Tablicagwkarodek"/>
              <w:spacing w:before="0" w:after="0"/>
              <w:rPr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1A1D2CD" w14:textId="77777777" w:rsidR="00B6028F" w:rsidRPr="00A306AD" w:rsidRDefault="00B6028F" w:rsidP="0025325D">
            <w:pPr>
              <w:pStyle w:val="Tablicagwkarodek"/>
              <w:spacing w:before="0" w:after="0"/>
              <w:rPr>
                <w:lang w:val="en-GB"/>
              </w:rPr>
            </w:pPr>
            <w:r w:rsidRPr="00A306AD">
              <w:rPr>
                <w:lang w:val="en-GB"/>
              </w:rPr>
              <w:t>in PLN million</w:t>
            </w:r>
          </w:p>
        </w:tc>
      </w:tr>
      <w:tr w:rsidR="006D1899" w:rsidRPr="00A306AD" w14:paraId="395334A9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04C507" w14:textId="77777777" w:rsidR="006D1899" w:rsidRPr="00A306AD" w:rsidRDefault="006D1899" w:rsidP="006D1899">
            <w:pPr>
              <w:pStyle w:val="Tablicaboczek"/>
              <w:spacing w:before="0" w:after="0"/>
              <w:rPr>
                <w:b/>
                <w:lang w:val="en-GB"/>
              </w:rPr>
            </w:pPr>
            <w:r w:rsidRPr="00A306AD">
              <w:rPr>
                <w:b/>
                <w:lang w:val="en-GB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75571" w14:textId="60B4CB66" w:rsidR="006D1899" w:rsidRPr="00A306AD" w:rsidRDefault="006D1899" w:rsidP="006D1899">
            <w:pPr>
              <w:pStyle w:val="Tablicadanerodek"/>
              <w:spacing w:before="0" w:after="0"/>
              <w:rPr>
                <w:b/>
                <w:lang w:val="en-GB"/>
              </w:rPr>
            </w:pPr>
            <w:r w:rsidRPr="00A306AD">
              <w:rPr>
                <w:b/>
                <w:lang w:val="en-GB" w:eastAsia="en-US"/>
              </w:rPr>
              <w:t>4,70</w:t>
            </w:r>
            <w:r>
              <w:rPr>
                <w:b/>
                <w:lang w:val="en-GB" w:eastAsia="en-US"/>
              </w:rPr>
              <w:t>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596DB" w14:textId="70DCCB00" w:rsidR="006D1899" w:rsidRPr="00A306AD" w:rsidRDefault="006D1899" w:rsidP="006D1899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</w:rPr>
              <w:t>7,937.4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94259" w14:textId="623F04A2" w:rsidR="006D1899" w:rsidRPr="00A306AD" w:rsidRDefault="006D1899" w:rsidP="006D1899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</w:rPr>
              <w:t>7,386.3</w:t>
            </w:r>
          </w:p>
        </w:tc>
      </w:tr>
      <w:tr w:rsidR="006D1899" w:rsidRPr="00A306AD" w14:paraId="7026E6A3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4818198D" w14:textId="77777777" w:rsidR="006D1899" w:rsidRPr="00A306AD" w:rsidRDefault="006D1899" w:rsidP="006D1899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A306AD">
              <w:rPr>
                <w:lang w:val="en-GB"/>
              </w:rPr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90E1D" w14:textId="5E26F33B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4,6</w:t>
            </w:r>
            <w:r>
              <w:rPr>
                <w:lang w:val="en-GB" w:eastAsia="en-US"/>
              </w:rPr>
              <w:t>31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F4ADA" w14:textId="2C83F9DC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spacing w:val="1"/>
              </w:rPr>
              <w:t>6,540.0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73847" w14:textId="12F09B41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6,126.6</w:t>
            </w:r>
          </w:p>
        </w:tc>
      </w:tr>
      <w:tr w:rsidR="006D1899" w:rsidRPr="00A306AD" w14:paraId="4F8A06AF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F6AFC52" w14:textId="77777777" w:rsidR="006D1899" w:rsidRPr="00A306AD" w:rsidRDefault="006D1899" w:rsidP="006D1899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A306AD">
              <w:rPr>
                <w:lang w:val="en-GB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E8810" w14:textId="6E4DA3FD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77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6C971" w14:textId="08A96BD8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1,397.5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AE903" w14:textId="73E2225A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1,259.7</w:t>
            </w:r>
          </w:p>
        </w:tc>
      </w:tr>
      <w:tr w:rsidR="006D1899" w:rsidRPr="00A306AD" w14:paraId="5EB2EF34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D2F454E" w14:textId="77777777" w:rsidR="006D1899" w:rsidRPr="00A306AD" w:rsidRDefault="006D1899" w:rsidP="006D1899">
            <w:pPr>
              <w:pStyle w:val="Tablicaboczek"/>
              <w:spacing w:before="0" w:after="0"/>
              <w:ind w:left="142"/>
              <w:rPr>
                <w:lang w:val="en-GB"/>
              </w:rPr>
            </w:pPr>
            <w:r w:rsidRPr="00A306AD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2CA75" w14:textId="7777777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DAD91" w14:textId="7777777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85CF5" w14:textId="77777777" w:rsidR="006D1899" w:rsidRPr="00A306AD" w:rsidRDefault="006D1899" w:rsidP="006D1899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</w:p>
        </w:tc>
      </w:tr>
      <w:tr w:rsidR="006D1899" w:rsidRPr="00A306AD" w14:paraId="34DB1801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18F93AE" w14:textId="77777777" w:rsidR="006D1899" w:rsidRPr="00A306AD" w:rsidRDefault="006D1899" w:rsidP="006D1899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A306AD">
              <w:rPr>
                <w:lang w:val="en-GB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C21425E" w14:textId="27EF27F0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2,33</w:t>
            </w:r>
            <w:r>
              <w:rPr>
                <w:lang w:val="en-GB" w:eastAsia="en-US"/>
              </w:rPr>
              <w:t>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FBE6EB" w14:textId="67A01B5E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4,854.2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D685E3" w14:textId="25F27EF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spacing w:val="1"/>
              </w:rPr>
              <w:t>4,508.8</w:t>
            </w:r>
          </w:p>
        </w:tc>
      </w:tr>
      <w:tr w:rsidR="006D1899" w:rsidRPr="00A306AD" w14:paraId="43CCCBC7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4349D3A" w14:textId="77777777" w:rsidR="006D1899" w:rsidRPr="00A306AD" w:rsidRDefault="006D1899" w:rsidP="006D1899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A306AD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A320" w14:textId="77777777" w:rsidR="006D1899" w:rsidRPr="00A306AD" w:rsidRDefault="006D1899" w:rsidP="006D1899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EA910" w14:textId="77777777" w:rsidR="006D1899" w:rsidRPr="00A306AD" w:rsidRDefault="006D1899" w:rsidP="006D1899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8AB9F" w14:textId="77777777" w:rsidR="006D1899" w:rsidRPr="00A306AD" w:rsidRDefault="006D1899" w:rsidP="006D1899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</w:tr>
      <w:tr w:rsidR="006D1899" w:rsidRPr="00A306AD" w14:paraId="167D979B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22B2630B" w14:textId="77777777" w:rsidR="006D1899" w:rsidRPr="00A306AD" w:rsidRDefault="006D1899" w:rsidP="006D1899">
            <w:pPr>
              <w:pStyle w:val="Tablicaboczek"/>
              <w:spacing w:before="0" w:after="0"/>
              <w:ind w:left="879" w:hanging="170"/>
              <w:rPr>
                <w:lang w:val="en-GB"/>
              </w:rPr>
            </w:pPr>
            <w:r w:rsidRPr="00A306AD">
              <w:rPr>
                <w:lang w:val="en-GB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8E56FE" w14:textId="35186F2F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AC1860" w14:textId="3ACC797C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1,497.5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300D5D" w14:textId="7530D755" w:rsidR="006D1899" w:rsidRPr="00A306AD" w:rsidRDefault="006D1899" w:rsidP="006D1899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>
              <w:t>1</w:t>
            </w:r>
            <w:r w:rsidR="00967748">
              <w:t>,</w:t>
            </w:r>
            <w:r>
              <w:t>448</w:t>
            </w:r>
            <w:r w:rsidR="00967748">
              <w:t>.</w:t>
            </w:r>
            <w:r>
              <w:t>4</w:t>
            </w:r>
          </w:p>
        </w:tc>
      </w:tr>
      <w:tr w:rsidR="006D1899" w:rsidRPr="00A306AD" w14:paraId="625AFAD2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B2DE195" w14:textId="77777777" w:rsidR="006D1899" w:rsidRPr="00A306AD" w:rsidRDefault="006D1899" w:rsidP="006D1899">
            <w:pPr>
              <w:pStyle w:val="Tablicaboczek"/>
              <w:spacing w:before="0" w:after="0"/>
              <w:ind w:left="879" w:hanging="170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40DE2" w14:textId="393345D6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2,17</w:t>
            </w:r>
            <w:r>
              <w:rPr>
                <w:lang w:val="en-GB" w:eastAsia="en-US"/>
              </w:rPr>
              <w:t>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58194" w14:textId="5A824F20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3,251.1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8C283" w14:textId="1B6008BF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2</w:t>
            </w:r>
            <w:r w:rsidR="00967748">
              <w:t>,</w:t>
            </w:r>
            <w:r>
              <w:t>968</w:t>
            </w:r>
            <w:r w:rsidR="00967748">
              <w:t>.</w:t>
            </w:r>
            <w:r>
              <w:t>3</w:t>
            </w:r>
          </w:p>
        </w:tc>
      </w:tr>
      <w:tr w:rsidR="006D1899" w:rsidRPr="00A306AD" w14:paraId="5354C51A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7554552" w14:textId="77777777" w:rsidR="006D1899" w:rsidRPr="00A306AD" w:rsidRDefault="006D1899" w:rsidP="006D1899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A306AD">
              <w:rPr>
                <w:lang w:val="en-GB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D513E5E" w14:textId="22C4EF34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2,365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D28559" w14:textId="258BBBFA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2,990.0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528213" w14:textId="3A604112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2</w:t>
            </w:r>
            <w:r w:rsidR="00967748">
              <w:t>,</w:t>
            </w:r>
            <w:r>
              <w:t>787</w:t>
            </w:r>
            <w:r w:rsidR="00967748">
              <w:t>.</w:t>
            </w:r>
            <w:r>
              <w:t>6</w:t>
            </w:r>
          </w:p>
        </w:tc>
      </w:tr>
      <w:tr w:rsidR="006D1899" w:rsidRPr="00A306AD" w14:paraId="6CAD4744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61A6B1B" w14:textId="77777777" w:rsidR="006D1899" w:rsidRPr="00A306AD" w:rsidRDefault="006D1899" w:rsidP="006D1899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BE3E4" w14:textId="7777777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2900D" w14:textId="7777777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CFDB0" w14:textId="7777777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</w:p>
        </w:tc>
      </w:tr>
      <w:tr w:rsidR="006D1899" w:rsidRPr="00A306AD" w14:paraId="0746E2F4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4E93DEFC" w14:textId="77777777" w:rsidR="006D1899" w:rsidRPr="00A306AD" w:rsidRDefault="006D1899" w:rsidP="006D189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libraries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E36F3" w14:textId="60B73243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1,96</w:t>
            </w:r>
            <w:r>
              <w:rPr>
                <w:lang w:val="en-GB" w:eastAsia="en-US"/>
              </w:rPr>
              <w:t>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ED41A" w14:textId="11601E7A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1,295.4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BE2C0" w14:textId="4AE92C1B" w:rsidR="006D1899" w:rsidRPr="00A306AD" w:rsidRDefault="006D1899" w:rsidP="006D1899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>
              <w:t>1</w:t>
            </w:r>
            <w:r w:rsidR="00967748">
              <w:t>,</w:t>
            </w:r>
            <w:r>
              <w:t>228</w:t>
            </w:r>
            <w:r w:rsidR="00967748">
              <w:t>.</w:t>
            </w:r>
            <w:r>
              <w:t>6</w:t>
            </w:r>
          </w:p>
        </w:tc>
      </w:tr>
      <w:tr w:rsidR="006D1899" w:rsidRPr="00A306AD" w14:paraId="28E6A565" w14:textId="77777777" w:rsidTr="0012445C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457D6037" w14:textId="77777777" w:rsidR="006D1899" w:rsidRPr="00A306AD" w:rsidRDefault="006D1899" w:rsidP="006D189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A306AD">
              <w:rPr>
                <w:rFonts w:cs="Fira Sans"/>
                <w:spacing w:val="-1"/>
                <w:lang w:val="en-GB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0F2F2" w14:textId="55B7CF7C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 w:rsidRPr="00A306AD">
              <w:rPr>
                <w:lang w:val="en-GB" w:eastAsia="en-US"/>
              </w:rPr>
              <w:t>39</w:t>
            </w:r>
            <w:r>
              <w:rPr>
                <w:lang w:val="en-GB" w:eastAsia="en-US"/>
              </w:rPr>
              <w:t>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52D5E" w14:textId="583E5AD7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1,652.3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A47EF" w14:textId="272ACD52" w:rsidR="006D1899" w:rsidRPr="00A306AD" w:rsidRDefault="006D1899" w:rsidP="006D1899">
            <w:pPr>
              <w:pStyle w:val="Tablicadanerodek"/>
              <w:spacing w:before="0" w:after="0"/>
              <w:rPr>
                <w:lang w:val="en-GB"/>
              </w:rPr>
            </w:pPr>
            <w:r>
              <w:t>1</w:t>
            </w:r>
            <w:r w:rsidR="00967748">
              <w:t>,</w:t>
            </w:r>
            <w:r>
              <w:t>520</w:t>
            </w:r>
            <w:r w:rsidR="00967748">
              <w:t>.</w:t>
            </w:r>
            <w:r>
              <w:t>7</w:t>
            </w:r>
          </w:p>
        </w:tc>
      </w:tr>
    </w:tbl>
    <w:p w14:paraId="7B30101A" w14:textId="77777777" w:rsidR="00967748" w:rsidRDefault="00B6028F" w:rsidP="00967748">
      <w:pPr>
        <w:spacing w:before="360" w:after="0" w:line="288" w:lineRule="auto"/>
        <w:rPr>
          <w:lang w:val="en-GB"/>
        </w:rPr>
      </w:pPr>
      <w:r w:rsidRPr="00A306AD">
        <w:rPr>
          <w:szCs w:val="19"/>
          <w:lang w:val="en-GB"/>
        </w:rPr>
        <w:t xml:space="preserve">The data presented in this study were prepared on the basis of the form with the symbol </w:t>
      </w:r>
      <w:r w:rsidRPr="00A306AD">
        <w:rPr>
          <w:szCs w:val="19"/>
          <w:lang w:val="en-GB"/>
        </w:rPr>
        <w:br/>
        <w:t xml:space="preserve">F-01/dk </w:t>
      </w:r>
      <w:r w:rsidRPr="00A306AD">
        <w:rPr>
          <w:i/>
          <w:szCs w:val="19"/>
          <w:lang w:val="en-GB"/>
        </w:rPr>
        <w:t>Quarterly report on the finances of cultural institutions</w:t>
      </w:r>
      <w:r w:rsidRPr="00A306AD">
        <w:rPr>
          <w:szCs w:val="19"/>
          <w:lang w:val="en-GB"/>
        </w:rPr>
        <w:t>.</w:t>
      </w:r>
    </w:p>
    <w:p w14:paraId="48110BD0" w14:textId="3DE89E94" w:rsidR="007762FA" w:rsidRPr="00A306AD" w:rsidRDefault="007762FA" w:rsidP="0061336A">
      <w:pPr>
        <w:spacing w:before="5160" w:after="0" w:line="288" w:lineRule="auto"/>
        <w:rPr>
          <w:lang w:val="en-GB"/>
        </w:rPr>
        <w:sectPr w:rsidR="007762FA" w:rsidRPr="00A306AD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306AD">
        <w:rPr>
          <w:shd w:val="clear" w:color="auto" w:fill="FFFFFF"/>
          <w:lang w:val="en-GB"/>
        </w:rPr>
        <w:t xml:space="preserve">In </w:t>
      </w:r>
      <w:r w:rsidRPr="00A306AD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"/>
      </w:tblPr>
      <w:tblGrid>
        <w:gridCol w:w="4926"/>
        <w:gridCol w:w="4927"/>
      </w:tblGrid>
      <w:tr w:rsidR="004B534C" w:rsidRPr="00D737C9" w14:paraId="7477BCAD" w14:textId="77777777" w:rsidTr="0012445C">
        <w:trPr>
          <w:cantSplit/>
          <w:trHeight w:val="1626"/>
        </w:trPr>
        <w:tc>
          <w:tcPr>
            <w:tcW w:w="4926" w:type="dxa"/>
          </w:tcPr>
          <w:p w14:paraId="0224CDAB" w14:textId="77777777" w:rsidR="004B534C" w:rsidRPr="00A306AD" w:rsidRDefault="004B534C" w:rsidP="004B534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306A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58F2DD01" w14:textId="77777777" w:rsidR="004B534C" w:rsidRPr="00A306AD" w:rsidRDefault="004B534C" w:rsidP="004B534C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78155EEE" w14:textId="77777777" w:rsidR="004B534C" w:rsidRPr="00A306AD" w:rsidRDefault="004B534C" w:rsidP="004B534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336CE0C4" w14:textId="53CB81E6" w:rsidR="004B534C" w:rsidRPr="00A306AD" w:rsidRDefault="004B534C" w:rsidP="006E7FC8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A306AD">
              <w:rPr>
                <w:lang w:val="en-GB"/>
              </w:rPr>
              <w:t>Phone:</w:t>
            </w:r>
            <w:r w:rsidRPr="00A306AD">
              <w:rPr>
                <w:color w:val="000000" w:themeColor="text1"/>
                <w:lang w:val="en-GB"/>
              </w:rPr>
              <w:t xml:space="preserve"> </w:t>
            </w:r>
            <w:hyperlink r:id="rId16" w:tooltip="click to call" w:history="1">
              <w:r w:rsidRPr="00A306AD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</w:p>
        </w:tc>
        <w:tc>
          <w:tcPr>
            <w:tcW w:w="4927" w:type="dxa"/>
          </w:tcPr>
          <w:p w14:paraId="108B00BA" w14:textId="77777777" w:rsidR="004B534C" w:rsidRPr="00A306AD" w:rsidRDefault="004B534C" w:rsidP="004B534C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A306AD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3FA78F4D" w14:textId="77777777" w:rsidR="004B534C" w:rsidRPr="00A306AD" w:rsidRDefault="004B534C" w:rsidP="004B534C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A314B80" w14:textId="77777777" w:rsidR="004B534C" w:rsidRPr="00A306AD" w:rsidRDefault="004B534C" w:rsidP="004B534C">
            <w:pPr>
              <w:rPr>
                <w:sz w:val="20"/>
                <w:szCs w:val="20"/>
                <w:lang w:val="en-GB"/>
              </w:rPr>
            </w:pPr>
            <w:r w:rsidRPr="00A306AD">
              <w:rPr>
                <w:sz w:val="20"/>
                <w:szCs w:val="20"/>
                <w:lang w:val="en-GB"/>
              </w:rPr>
              <w:t>Mobile: (+48) 695 255 032</w:t>
            </w:r>
          </w:p>
          <w:p w14:paraId="702A2EC3" w14:textId="77777777" w:rsidR="004B534C" w:rsidRPr="00A306AD" w:rsidRDefault="004B534C" w:rsidP="004B534C">
            <w:pPr>
              <w:spacing w:after="0"/>
              <w:rPr>
                <w:sz w:val="20"/>
                <w:szCs w:val="20"/>
                <w:lang w:val="en-GB"/>
              </w:rPr>
            </w:pPr>
            <w:r w:rsidRPr="00A306AD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1D50D0B3" w14:textId="77777777" w:rsidR="004B534C" w:rsidRPr="00A306AD" w:rsidRDefault="004B534C" w:rsidP="004B534C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A306AD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0631F32" w:rsidR="004B534C" w:rsidRPr="00A306AD" w:rsidRDefault="004B534C" w:rsidP="004B534C">
            <w:pPr>
              <w:spacing w:before="0"/>
              <w:rPr>
                <w:b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e-mail:</w:t>
            </w:r>
            <w:r w:rsidRPr="00A306AD">
              <w:rPr>
                <w:sz w:val="20"/>
                <w:szCs w:val="20"/>
                <w:lang w:val="en-GB"/>
              </w:rPr>
              <w:t xml:space="preserve"> </w:t>
            </w:r>
            <w:hyperlink r:id="rId17" w:tooltip="obslugaprasowa@stat.gov.pl" w:history="1">
              <w:r w:rsidRPr="00A306AD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4B534C" w:rsidRPr="00A306AD" w14:paraId="70154136" w14:textId="77777777" w:rsidTr="0012445C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35B09589" w:rsidR="004B534C" w:rsidRPr="00A306AD" w:rsidRDefault="004B534C" w:rsidP="004B534C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1898CBA5" w:rsidR="004B534C" w:rsidRPr="00A306AD" w:rsidRDefault="004B534C" w:rsidP="004B534C">
            <w:pPr>
              <w:ind w:firstLine="680"/>
              <w:rPr>
                <w:sz w:val="18"/>
                <w:lang w:val="en-GB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6112" behindDoc="0" locked="0" layoutInCell="1" allowOverlap="1" wp14:anchorId="38C92BD2" wp14:editId="18A2D79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tooltip="website SO" w:history="1"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4B534C" w:rsidRPr="00A306AD" w14:paraId="31403C92" w14:textId="77777777" w:rsidTr="0012445C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4B534C" w:rsidRPr="00A306AD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229D3012" w:rsidR="004B534C" w:rsidRPr="00A306AD" w:rsidRDefault="004B534C" w:rsidP="004B534C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A306A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7136" behindDoc="0" locked="0" layoutInCell="1" allowOverlap="1" wp14:anchorId="0349E41B" wp14:editId="44C090D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6" name="Obraz 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06AD">
              <w:rPr>
                <w:color w:val="000000" w:themeColor="text1"/>
                <w:lang w:val="en-GB"/>
              </w:rPr>
              <w:t>@</w:t>
            </w:r>
            <w:proofErr w:type="spellStart"/>
            <w:r w:rsidR="007961CA" w:rsidRPr="00A306AD">
              <w:rPr>
                <w:rStyle w:val="Hipercze"/>
                <w:color w:val="000000" w:themeColor="text1"/>
                <w:u w:val="none"/>
                <w:lang w:val="en-GB"/>
              </w:rPr>
              <w:fldChar w:fldCharType="begin"/>
            </w:r>
            <w:r w:rsidR="007961CA" w:rsidRPr="00A306AD">
              <w:rPr>
                <w:rStyle w:val="Hipercze"/>
                <w:color w:val="000000" w:themeColor="text1"/>
                <w:u w:val="none"/>
                <w:lang w:val="en-GB"/>
              </w:rPr>
              <w:instrText xml:space="preserve"> HYPERLINK "https://twitter.com/StatPoland" \o "twitter" </w:instrText>
            </w:r>
            <w:r w:rsidR="007961CA" w:rsidRPr="00A306AD">
              <w:rPr>
                <w:rStyle w:val="Hipercze"/>
                <w:color w:val="000000" w:themeColor="text1"/>
                <w:u w:val="none"/>
                <w:lang w:val="en-GB"/>
              </w:rPr>
              <w:fldChar w:fldCharType="separate"/>
            </w:r>
            <w:r w:rsidRPr="00A306AD">
              <w:rPr>
                <w:rStyle w:val="Hipercze"/>
                <w:color w:val="000000" w:themeColor="text1"/>
                <w:u w:val="none"/>
                <w:lang w:val="en-GB"/>
              </w:rPr>
              <w:t>StatPoland</w:t>
            </w:r>
            <w:proofErr w:type="spellEnd"/>
            <w:r w:rsidR="007961CA" w:rsidRPr="00A306AD">
              <w:rPr>
                <w:rStyle w:val="Hipercze"/>
                <w:color w:val="000000" w:themeColor="text1"/>
                <w:u w:val="none"/>
                <w:lang w:val="en-GB"/>
              </w:rPr>
              <w:fldChar w:fldCharType="end"/>
            </w:r>
          </w:p>
        </w:tc>
      </w:tr>
      <w:tr w:rsidR="004B534C" w:rsidRPr="00A306AD" w14:paraId="4C78BBB1" w14:textId="77777777" w:rsidTr="0012445C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4B534C" w:rsidRPr="00A306AD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172886CE" w:rsidR="004B534C" w:rsidRPr="00A306AD" w:rsidRDefault="004B534C" w:rsidP="004B534C">
            <w:pPr>
              <w:ind w:firstLine="680"/>
              <w:rPr>
                <w:sz w:val="18"/>
                <w:lang w:val="en-GB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8160" behindDoc="0" locked="0" layoutInCell="1" allowOverlap="1" wp14:anchorId="08C845A3" wp14:editId="062425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facebook" w:history="1"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A306AD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4B534C" w:rsidRPr="00A306AD" w14:paraId="02BA1EF3" w14:textId="77777777" w:rsidTr="0012445C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4B534C" w:rsidRPr="00A306AD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206F3B90" w:rsidR="004B534C" w:rsidRPr="00A306AD" w:rsidRDefault="004B534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9184" behindDoc="0" locked="0" layoutInCell="1" allowOverlap="1" wp14:anchorId="664CBB35" wp14:editId="28B6CD6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intagram GUS" w:history="1"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gus_stat</w:t>
              </w:r>
              <w:proofErr w:type="spellEnd"/>
            </w:hyperlink>
          </w:p>
        </w:tc>
      </w:tr>
      <w:tr w:rsidR="004B534C" w:rsidRPr="00A306AD" w14:paraId="7BA0DA9B" w14:textId="77777777" w:rsidTr="0012445C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4B534C" w:rsidRPr="00A306AD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278F1983" w:rsidR="004B534C" w:rsidRPr="00A306AD" w:rsidRDefault="004B534C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70208" behindDoc="0" locked="0" layoutInCell="1" allowOverlap="1" wp14:anchorId="37D27262" wp14:editId="1F7AF17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youtube GUS" w:history="1"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glownyurzadstatystycznygus</w:t>
              </w:r>
              <w:proofErr w:type="spellEnd"/>
            </w:hyperlink>
          </w:p>
        </w:tc>
      </w:tr>
      <w:tr w:rsidR="004B534C" w:rsidRPr="00A306AD" w14:paraId="3A9A6193" w14:textId="77777777" w:rsidTr="0012445C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4B534C" w:rsidRPr="00A306AD" w:rsidRDefault="004B534C" w:rsidP="004B534C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76405C70" w:rsidR="004B534C" w:rsidRPr="00A306AD" w:rsidRDefault="00125740" w:rsidP="004B534C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7" w:tooltip="linkedin GUS" w:history="1">
              <w:r w:rsidR="004B534C" w:rsidRPr="00A306AD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pl-PL"/>
                </w:rPr>
                <w:t>glownyurzadstatystyczny</w:t>
              </w:r>
              <w:r w:rsidR="004B534C" w:rsidRPr="00A306AD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71232" behindDoc="0" locked="0" layoutInCell="1" allowOverlap="1" wp14:anchorId="1E271F8A" wp14:editId="5DF1A582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7282A" w:rsidRPr="00A306AD" w14:paraId="503ADA62" w14:textId="77777777" w:rsidTr="0012445C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3AD5B9E" w14:textId="77777777" w:rsidR="0049500E" w:rsidRPr="00A306AD" w:rsidRDefault="0049500E" w:rsidP="0049500E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A306AD">
              <w:rPr>
                <w:b/>
                <w:lang w:val="en-GB"/>
              </w:rPr>
              <w:t>Related information</w:t>
            </w:r>
          </w:p>
          <w:p w14:paraId="1CA09976" w14:textId="2EDD767E" w:rsidR="0049500E" w:rsidRPr="00A306AD" w:rsidRDefault="00125740" w:rsidP="0049500E">
            <w:pPr>
              <w:rPr>
                <w:rStyle w:val="Hipercze"/>
                <w:lang w:val="en-GB"/>
              </w:rPr>
            </w:pPr>
            <w:hyperlink r:id="rId29" w:tooltip="link to the publication &quot;Financial results of cultural institutions in the first quarter of 2024 &quot;" w:history="1">
              <w:r w:rsidR="00530993">
                <w:rPr>
                  <w:rStyle w:val="Hipercze"/>
                  <w:lang w:val="en-GB"/>
                </w:rPr>
                <w:t xml:space="preserve">Financial results of cultural institutions in the first quarter of 2024 </w:t>
              </w:r>
            </w:hyperlink>
          </w:p>
          <w:p w14:paraId="582C0E45" w14:textId="05B84745" w:rsidR="0049500E" w:rsidRPr="00A306AD" w:rsidRDefault="00125740" w:rsidP="0049500E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0" w:tooltip="link to the publication &quot;Methodological report. Non-financial enterprises surveys 2019&quot;" w:history="1">
              <w:r w:rsidR="0049500E" w:rsidRPr="00A306AD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2D2C5511" w14:textId="77777777" w:rsidR="0049500E" w:rsidRPr="00A306AD" w:rsidRDefault="0049500E" w:rsidP="0049500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306AD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18C84B83" w14:textId="50E631C7" w:rsidR="0049500E" w:rsidRPr="00A306AD" w:rsidRDefault="00125740" w:rsidP="0049500E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Total revenues&quot;" w:history="1">
              <w:r w:rsidR="0049500E" w:rsidRPr="00A306AD">
                <w:rPr>
                  <w:rStyle w:val="Hipercze"/>
                  <w:lang w:val="en-GB"/>
                </w:rPr>
                <w:t>Total revenues</w:t>
              </w:r>
            </w:hyperlink>
          </w:p>
          <w:p w14:paraId="5705AE5D" w14:textId="32256D6D" w:rsidR="0049500E" w:rsidRPr="00A306AD" w:rsidRDefault="00125740" w:rsidP="0049500E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2" w:tooltip="link to the term &quot;Total costs&quot;" w:history="1">
              <w:r w:rsidR="0049500E" w:rsidRPr="00A306AD">
                <w:rPr>
                  <w:rStyle w:val="Hipercze"/>
                  <w:lang w:val="en-GB"/>
                </w:rPr>
                <w:t>Total costs</w:t>
              </w:r>
            </w:hyperlink>
          </w:p>
          <w:p w14:paraId="0FFF1475" w14:textId="76FB2676" w:rsidR="0049500E" w:rsidRPr="00A306AD" w:rsidRDefault="00125740" w:rsidP="0049500E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3" w:tooltip="link to the term &quot;Gross financial result&quot;" w:history="1">
              <w:r w:rsidR="0049500E" w:rsidRPr="00A306AD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47C08AD8" w14:textId="3D5C5479" w:rsidR="0049500E" w:rsidRPr="00A306AD" w:rsidRDefault="00125740" w:rsidP="0049500E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4" w:tooltip="link to the term &quot;Net financial result&quot;" w:history="1">
              <w:r w:rsidR="0049500E" w:rsidRPr="00A306AD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409B5F1A" w14:textId="6B81ED05" w:rsidR="0049500E" w:rsidRPr="00A306AD" w:rsidRDefault="00125740" w:rsidP="0049500E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5" w:tooltip="link to the term &quot;Investment outlays&quot;" w:history="1">
              <w:r w:rsidR="0049500E" w:rsidRPr="00A306AD">
                <w:rPr>
                  <w:rStyle w:val="Hipercze"/>
                  <w:lang w:val="en-GB"/>
                </w:rPr>
                <w:t>Investment outlays</w:t>
              </w:r>
            </w:hyperlink>
          </w:p>
          <w:p w14:paraId="239C5219" w14:textId="037A03A4" w:rsidR="0049500E" w:rsidRPr="00A306AD" w:rsidRDefault="00125740" w:rsidP="0049500E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6" w:tooltip="link to the term &quot;Outlays on intangible fixed assets&quot;" w:history="1">
              <w:r w:rsidR="0049500E" w:rsidRPr="00A306AD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77ECBDD0" w14:textId="1254D9EB" w:rsidR="0077282A" w:rsidRPr="00A306AD" w:rsidRDefault="00125740" w:rsidP="0049500E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7" w:tooltip="link to the term &quot;Cultural institution&quot;" w:history="1">
              <w:r w:rsidR="0049500E" w:rsidRPr="00A306AD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6CD67820" w14:textId="77777777" w:rsidR="0077282A" w:rsidRPr="00A306AD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A306AD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4941" w14:textId="77777777" w:rsidR="00D37073" w:rsidRDefault="00D37073" w:rsidP="000662E2">
      <w:pPr>
        <w:spacing w:after="0" w:line="240" w:lineRule="auto"/>
      </w:pPr>
      <w:r>
        <w:separator/>
      </w:r>
    </w:p>
  </w:endnote>
  <w:endnote w:type="continuationSeparator" w:id="0">
    <w:p w14:paraId="428C018D" w14:textId="77777777" w:rsidR="00D37073" w:rsidRDefault="00D370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7C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7C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7C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01A1F" w14:textId="77777777" w:rsidR="00D37073" w:rsidRDefault="00D37073" w:rsidP="000662E2">
      <w:pPr>
        <w:spacing w:after="0" w:line="240" w:lineRule="auto"/>
      </w:pPr>
      <w:r>
        <w:separator/>
      </w:r>
    </w:p>
  </w:footnote>
  <w:footnote w:type="continuationSeparator" w:id="0">
    <w:p w14:paraId="51856A83" w14:textId="77777777" w:rsidR="00D37073" w:rsidRDefault="00D3707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8" name="Obraz 8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27980F88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2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5F4D5F38" w:rsidR="007762FA" w:rsidRPr="00A01B40" w:rsidRDefault="00DF42C0" w:rsidP="0057332C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30472C">
                            <w:t>2</w:t>
                          </w:r>
                          <w:r>
                            <w:t>.0</w:t>
                          </w:r>
                          <w:r w:rsidR="0030472C">
                            <w:t>9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12.09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LWCn5I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5F4D5F38" w:rsidR="007762FA" w:rsidRPr="00A01B40" w:rsidRDefault="00DF42C0" w:rsidP="0057332C">
                    <w:pPr>
                      <w:pStyle w:val="Datainformacjisygnalnej"/>
                    </w:pPr>
                    <w:r>
                      <w:t>1</w:t>
                    </w:r>
                    <w:r w:rsidR="0030472C">
                      <w:t>2</w:t>
                    </w:r>
                    <w:r>
                      <w:t>.0</w:t>
                    </w:r>
                    <w:r w:rsidR="0030472C">
                      <w:t>9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0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29.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pt;height:129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0C93"/>
    <w:rsid w:val="00011A62"/>
    <w:rsid w:val="000134C6"/>
    <w:rsid w:val="000152F5"/>
    <w:rsid w:val="00017EE0"/>
    <w:rsid w:val="00021C39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6D6A"/>
    <w:rsid w:val="00097840"/>
    <w:rsid w:val="000A16D8"/>
    <w:rsid w:val="000A1CB5"/>
    <w:rsid w:val="000A22FC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445C"/>
    <w:rsid w:val="00125525"/>
    <w:rsid w:val="00125740"/>
    <w:rsid w:val="00130296"/>
    <w:rsid w:val="00131443"/>
    <w:rsid w:val="0013205B"/>
    <w:rsid w:val="00133651"/>
    <w:rsid w:val="00134145"/>
    <w:rsid w:val="001347ED"/>
    <w:rsid w:val="00136736"/>
    <w:rsid w:val="00136D67"/>
    <w:rsid w:val="00140ADB"/>
    <w:rsid w:val="00140FFE"/>
    <w:rsid w:val="001423B6"/>
    <w:rsid w:val="00143957"/>
    <w:rsid w:val="001448A7"/>
    <w:rsid w:val="00144CAE"/>
    <w:rsid w:val="00146621"/>
    <w:rsid w:val="00151077"/>
    <w:rsid w:val="00153446"/>
    <w:rsid w:val="00154131"/>
    <w:rsid w:val="0015465E"/>
    <w:rsid w:val="00156EC0"/>
    <w:rsid w:val="00157896"/>
    <w:rsid w:val="001617E3"/>
    <w:rsid w:val="00162325"/>
    <w:rsid w:val="00163D43"/>
    <w:rsid w:val="0016407B"/>
    <w:rsid w:val="00174A1D"/>
    <w:rsid w:val="00180822"/>
    <w:rsid w:val="00187DDC"/>
    <w:rsid w:val="00193AA0"/>
    <w:rsid w:val="00194F0F"/>
    <w:rsid w:val="001951DA"/>
    <w:rsid w:val="001967F8"/>
    <w:rsid w:val="00197D40"/>
    <w:rsid w:val="001A0F2D"/>
    <w:rsid w:val="001A32E4"/>
    <w:rsid w:val="001B011C"/>
    <w:rsid w:val="001B053D"/>
    <w:rsid w:val="001B313A"/>
    <w:rsid w:val="001B52E0"/>
    <w:rsid w:val="001C147B"/>
    <w:rsid w:val="001C3269"/>
    <w:rsid w:val="001C4B7D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563D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298A"/>
    <w:rsid w:val="002239FF"/>
    <w:rsid w:val="00226513"/>
    <w:rsid w:val="00231082"/>
    <w:rsid w:val="00231B77"/>
    <w:rsid w:val="002333CE"/>
    <w:rsid w:val="0023674F"/>
    <w:rsid w:val="00236B33"/>
    <w:rsid w:val="00241963"/>
    <w:rsid w:val="00241FA7"/>
    <w:rsid w:val="0024273B"/>
    <w:rsid w:val="00242D31"/>
    <w:rsid w:val="002442BD"/>
    <w:rsid w:val="00247B69"/>
    <w:rsid w:val="0025019A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08CE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5A68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3F4A"/>
    <w:rsid w:val="002F44E9"/>
    <w:rsid w:val="002F5768"/>
    <w:rsid w:val="002F77C8"/>
    <w:rsid w:val="00302A3F"/>
    <w:rsid w:val="00302E96"/>
    <w:rsid w:val="0030472C"/>
    <w:rsid w:val="00304F22"/>
    <w:rsid w:val="00305C4B"/>
    <w:rsid w:val="00306C7C"/>
    <w:rsid w:val="0031107D"/>
    <w:rsid w:val="003120D1"/>
    <w:rsid w:val="00314F86"/>
    <w:rsid w:val="00315802"/>
    <w:rsid w:val="00315FB4"/>
    <w:rsid w:val="00316775"/>
    <w:rsid w:val="00317F4D"/>
    <w:rsid w:val="00321B3E"/>
    <w:rsid w:val="00322EDD"/>
    <w:rsid w:val="003233A9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7D72"/>
    <w:rsid w:val="00350E19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4B5F"/>
    <w:rsid w:val="00375843"/>
    <w:rsid w:val="00376968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0FF2"/>
    <w:rsid w:val="003B1454"/>
    <w:rsid w:val="003B15C6"/>
    <w:rsid w:val="003B18B6"/>
    <w:rsid w:val="003B3863"/>
    <w:rsid w:val="003B3D7D"/>
    <w:rsid w:val="003B4F7C"/>
    <w:rsid w:val="003B54B6"/>
    <w:rsid w:val="003B65C0"/>
    <w:rsid w:val="003B668D"/>
    <w:rsid w:val="003C025A"/>
    <w:rsid w:val="003C161B"/>
    <w:rsid w:val="003C1D73"/>
    <w:rsid w:val="003C430B"/>
    <w:rsid w:val="003C507B"/>
    <w:rsid w:val="003C5274"/>
    <w:rsid w:val="003C55B8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D7858"/>
    <w:rsid w:val="003E0EDC"/>
    <w:rsid w:val="003E14E3"/>
    <w:rsid w:val="003E16FF"/>
    <w:rsid w:val="003E76F6"/>
    <w:rsid w:val="003F1D96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B32"/>
    <w:rsid w:val="00403EAE"/>
    <w:rsid w:val="00404EA3"/>
    <w:rsid w:val="00404F5D"/>
    <w:rsid w:val="00405DFE"/>
    <w:rsid w:val="00406856"/>
    <w:rsid w:val="00410F71"/>
    <w:rsid w:val="00411556"/>
    <w:rsid w:val="00411A97"/>
    <w:rsid w:val="00414460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3036"/>
    <w:rsid w:val="004442D0"/>
    <w:rsid w:val="00444D37"/>
    <w:rsid w:val="00445047"/>
    <w:rsid w:val="00445AA3"/>
    <w:rsid w:val="00446749"/>
    <w:rsid w:val="00446D34"/>
    <w:rsid w:val="00447289"/>
    <w:rsid w:val="004528E0"/>
    <w:rsid w:val="00453672"/>
    <w:rsid w:val="00453EB7"/>
    <w:rsid w:val="00457394"/>
    <w:rsid w:val="00457427"/>
    <w:rsid w:val="0046338F"/>
    <w:rsid w:val="00463E39"/>
    <w:rsid w:val="004657FC"/>
    <w:rsid w:val="00466A99"/>
    <w:rsid w:val="00472EB6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500E"/>
    <w:rsid w:val="0049621B"/>
    <w:rsid w:val="004A1D19"/>
    <w:rsid w:val="004A28E4"/>
    <w:rsid w:val="004A399C"/>
    <w:rsid w:val="004A406A"/>
    <w:rsid w:val="004B0408"/>
    <w:rsid w:val="004B429E"/>
    <w:rsid w:val="004B4713"/>
    <w:rsid w:val="004B534C"/>
    <w:rsid w:val="004B56CA"/>
    <w:rsid w:val="004B678F"/>
    <w:rsid w:val="004B6CDA"/>
    <w:rsid w:val="004C1895"/>
    <w:rsid w:val="004C1D0E"/>
    <w:rsid w:val="004C58D4"/>
    <w:rsid w:val="004C6D40"/>
    <w:rsid w:val="004C7FB6"/>
    <w:rsid w:val="004D004E"/>
    <w:rsid w:val="004D06EF"/>
    <w:rsid w:val="004D636A"/>
    <w:rsid w:val="004D77F1"/>
    <w:rsid w:val="004E0C32"/>
    <w:rsid w:val="004E28B4"/>
    <w:rsid w:val="004E6AA8"/>
    <w:rsid w:val="004F0C3C"/>
    <w:rsid w:val="004F2280"/>
    <w:rsid w:val="004F23BB"/>
    <w:rsid w:val="004F63FC"/>
    <w:rsid w:val="00500489"/>
    <w:rsid w:val="0050328A"/>
    <w:rsid w:val="00503585"/>
    <w:rsid w:val="00503E18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0993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0AA4"/>
    <w:rsid w:val="00551392"/>
    <w:rsid w:val="005520D8"/>
    <w:rsid w:val="005520F3"/>
    <w:rsid w:val="00555CFB"/>
    <w:rsid w:val="00556A9E"/>
    <w:rsid w:val="00556CF1"/>
    <w:rsid w:val="00556DCC"/>
    <w:rsid w:val="0057109D"/>
    <w:rsid w:val="0057289C"/>
    <w:rsid w:val="0057332C"/>
    <w:rsid w:val="00573991"/>
    <w:rsid w:val="00573BEA"/>
    <w:rsid w:val="005762A7"/>
    <w:rsid w:val="00576EE6"/>
    <w:rsid w:val="00583CA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0C0D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838"/>
    <w:rsid w:val="005D3C7C"/>
    <w:rsid w:val="005D6955"/>
    <w:rsid w:val="005E0799"/>
    <w:rsid w:val="005E10F9"/>
    <w:rsid w:val="005E1200"/>
    <w:rsid w:val="005E1389"/>
    <w:rsid w:val="005E2CC7"/>
    <w:rsid w:val="005E40D1"/>
    <w:rsid w:val="005E68A5"/>
    <w:rsid w:val="005E793B"/>
    <w:rsid w:val="005F45EE"/>
    <w:rsid w:val="005F4A8B"/>
    <w:rsid w:val="005F5A80"/>
    <w:rsid w:val="0060035B"/>
    <w:rsid w:val="006044FF"/>
    <w:rsid w:val="00607CC5"/>
    <w:rsid w:val="0061179B"/>
    <w:rsid w:val="006125F9"/>
    <w:rsid w:val="0061336A"/>
    <w:rsid w:val="00622CD3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2E8"/>
    <w:rsid w:val="00654BB6"/>
    <w:rsid w:val="00655496"/>
    <w:rsid w:val="00664FFB"/>
    <w:rsid w:val="00666100"/>
    <w:rsid w:val="006673CA"/>
    <w:rsid w:val="0066751D"/>
    <w:rsid w:val="00667B3D"/>
    <w:rsid w:val="00670C24"/>
    <w:rsid w:val="00671156"/>
    <w:rsid w:val="00671802"/>
    <w:rsid w:val="00673C26"/>
    <w:rsid w:val="00674DE5"/>
    <w:rsid w:val="006764FF"/>
    <w:rsid w:val="00677631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C25AA"/>
    <w:rsid w:val="006D1507"/>
    <w:rsid w:val="006D167E"/>
    <w:rsid w:val="006D1899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E7FC8"/>
    <w:rsid w:val="006F0F11"/>
    <w:rsid w:val="006F1F24"/>
    <w:rsid w:val="006F72B9"/>
    <w:rsid w:val="006F78C5"/>
    <w:rsid w:val="006F7BE1"/>
    <w:rsid w:val="00701680"/>
    <w:rsid w:val="0070216F"/>
    <w:rsid w:val="00703376"/>
    <w:rsid w:val="00705A38"/>
    <w:rsid w:val="00705D19"/>
    <w:rsid w:val="007108D3"/>
    <w:rsid w:val="00710F28"/>
    <w:rsid w:val="00717AED"/>
    <w:rsid w:val="00720B05"/>
    <w:rsid w:val="007211B1"/>
    <w:rsid w:val="00721FBB"/>
    <w:rsid w:val="0072379F"/>
    <w:rsid w:val="007246DD"/>
    <w:rsid w:val="00727559"/>
    <w:rsid w:val="007277DA"/>
    <w:rsid w:val="00730795"/>
    <w:rsid w:val="00731210"/>
    <w:rsid w:val="00731BEB"/>
    <w:rsid w:val="00731D27"/>
    <w:rsid w:val="007346B2"/>
    <w:rsid w:val="007424B6"/>
    <w:rsid w:val="00743792"/>
    <w:rsid w:val="007440C6"/>
    <w:rsid w:val="00746187"/>
    <w:rsid w:val="00746814"/>
    <w:rsid w:val="00746B84"/>
    <w:rsid w:val="007500BD"/>
    <w:rsid w:val="00750AB8"/>
    <w:rsid w:val="00751277"/>
    <w:rsid w:val="00755481"/>
    <w:rsid w:val="0076254F"/>
    <w:rsid w:val="00762EB0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4CEF"/>
    <w:rsid w:val="00785608"/>
    <w:rsid w:val="00786124"/>
    <w:rsid w:val="00792546"/>
    <w:rsid w:val="0079514B"/>
    <w:rsid w:val="00795252"/>
    <w:rsid w:val="007961CA"/>
    <w:rsid w:val="00797434"/>
    <w:rsid w:val="007A22DC"/>
    <w:rsid w:val="007A2DC1"/>
    <w:rsid w:val="007A6717"/>
    <w:rsid w:val="007A6932"/>
    <w:rsid w:val="007B49E9"/>
    <w:rsid w:val="007B6A4B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69E"/>
    <w:rsid w:val="007F5B1E"/>
    <w:rsid w:val="00800827"/>
    <w:rsid w:val="008041A5"/>
    <w:rsid w:val="00805072"/>
    <w:rsid w:val="0080553C"/>
    <w:rsid w:val="00805B46"/>
    <w:rsid w:val="00805DB4"/>
    <w:rsid w:val="008077CE"/>
    <w:rsid w:val="00810599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56526"/>
    <w:rsid w:val="00863791"/>
    <w:rsid w:val="008641DA"/>
    <w:rsid w:val="00864EB1"/>
    <w:rsid w:val="00865F5F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08C3"/>
    <w:rsid w:val="008B12D2"/>
    <w:rsid w:val="008B71F1"/>
    <w:rsid w:val="008C0C29"/>
    <w:rsid w:val="008C5D0E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1D9"/>
    <w:rsid w:val="0090684A"/>
    <w:rsid w:val="00906E52"/>
    <w:rsid w:val="009104D4"/>
    <w:rsid w:val="00911ACF"/>
    <w:rsid w:val="009127BA"/>
    <w:rsid w:val="009147B3"/>
    <w:rsid w:val="00916135"/>
    <w:rsid w:val="00920436"/>
    <w:rsid w:val="00920AAE"/>
    <w:rsid w:val="009227A6"/>
    <w:rsid w:val="00927009"/>
    <w:rsid w:val="00933EC1"/>
    <w:rsid w:val="00936BD2"/>
    <w:rsid w:val="00936CE3"/>
    <w:rsid w:val="009408B9"/>
    <w:rsid w:val="00940AE5"/>
    <w:rsid w:val="00941517"/>
    <w:rsid w:val="009425C0"/>
    <w:rsid w:val="009446AD"/>
    <w:rsid w:val="0094749C"/>
    <w:rsid w:val="009476CC"/>
    <w:rsid w:val="00950C92"/>
    <w:rsid w:val="0095206E"/>
    <w:rsid w:val="009530DB"/>
    <w:rsid w:val="00953676"/>
    <w:rsid w:val="00956B1E"/>
    <w:rsid w:val="00956F30"/>
    <w:rsid w:val="009611B4"/>
    <w:rsid w:val="00966C9A"/>
    <w:rsid w:val="00967748"/>
    <w:rsid w:val="009705EE"/>
    <w:rsid w:val="009722FC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29A0"/>
    <w:rsid w:val="00993775"/>
    <w:rsid w:val="00993E20"/>
    <w:rsid w:val="009969D9"/>
    <w:rsid w:val="009A0B98"/>
    <w:rsid w:val="009A0EB0"/>
    <w:rsid w:val="009A26B9"/>
    <w:rsid w:val="009A68CA"/>
    <w:rsid w:val="009A6EA0"/>
    <w:rsid w:val="009B155D"/>
    <w:rsid w:val="009B1972"/>
    <w:rsid w:val="009B566C"/>
    <w:rsid w:val="009B731F"/>
    <w:rsid w:val="009C12A7"/>
    <w:rsid w:val="009C1335"/>
    <w:rsid w:val="009C1AB2"/>
    <w:rsid w:val="009C7251"/>
    <w:rsid w:val="009D2E40"/>
    <w:rsid w:val="009D466C"/>
    <w:rsid w:val="009D76B6"/>
    <w:rsid w:val="009E0D43"/>
    <w:rsid w:val="009E25E1"/>
    <w:rsid w:val="009E2E91"/>
    <w:rsid w:val="009F071E"/>
    <w:rsid w:val="00A00B33"/>
    <w:rsid w:val="00A01B40"/>
    <w:rsid w:val="00A040CB"/>
    <w:rsid w:val="00A05677"/>
    <w:rsid w:val="00A0703F"/>
    <w:rsid w:val="00A10BA5"/>
    <w:rsid w:val="00A139F5"/>
    <w:rsid w:val="00A14146"/>
    <w:rsid w:val="00A14AAD"/>
    <w:rsid w:val="00A16133"/>
    <w:rsid w:val="00A1700A"/>
    <w:rsid w:val="00A177DA"/>
    <w:rsid w:val="00A17BA4"/>
    <w:rsid w:val="00A17F3F"/>
    <w:rsid w:val="00A23CC1"/>
    <w:rsid w:val="00A24A85"/>
    <w:rsid w:val="00A2668F"/>
    <w:rsid w:val="00A2736A"/>
    <w:rsid w:val="00A306AD"/>
    <w:rsid w:val="00A32B36"/>
    <w:rsid w:val="00A32E16"/>
    <w:rsid w:val="00A3352D"/>
    <w:rsid w:val="00A341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32DA"/>
    <w:rsid w:val="00A563F2"/>
    <w:rsid w:val="00A566E8"/>
    <w:rsid w:val="00A56D33"/>
    <w:rsid w:val="00A61856"/>
    <w:rsid w:val="00A61E4F"/>
    <w:rsid w:val="00A628CB"/>
    <w:rsid w:val="00A62D30"/>
    <w:rsid w:val="00A660B4"/>
    <w:rsid w:val="00A66347"/>
    <w:rsid w:val="00A710B1"/>
    <w:rsid w:val="00A73F73"/>
    <w:rsid w:val="00A810F9"/>
    <w:rsid w:val="00A82D31"/>
    <w:rsid w:val="00A82EED"/>
    <w:rsid w:val="00A841D5"/>
    <w:rsid w:val="00A85E7E"/>
    <w:rsid w:val="00A86ECC"/>
    <w:rsid w:val="00A86FCC"/>
    <w:rsid w:val="00A90A6D"/>
    <w:rsid w:val="00A910B5"/>
    <w:rsid w:val="00A93769"/>
    <w:rsid w:val="00A94953"/>
    <w:rsid w:val="00A971E5"/>
    <w:rsid w:val="00AA0698"/>
    <w:rsid w:val="00AA710D"/>
    <w:rsid w:val="00AB3AF4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F75"/>
    <w:rsid w:val="00B07FB5"/>
    <w:rsid w:val="00B11B69"/>
    <w:rsid w:val="00B13878"/>
    <w:rsid w:val="00B13BAC"/>
    <w:rsid w:val="00B1432B"/>
    <w:rsid w:val="00B14952"/>
    <w:rsid w:val="00B14FBA"/>
    <w:rsid w:val="00B151CA"/>
    <w:rsid w:val="00B15492"/>
    <w:rsid w:val="00B1652A"/>
    <w:rsid w:val="00B16871"/>
    <w:rsid w:val="00B23582"/>
    <w:rsid w:val="00B254EB"/>
    <w:rsid w:val="00B25B45"/>
    <w:rsid w:val="00B267FF"/>
    <w:rsid w:val="00B30564"/>
    <w:rsid w:val="00B31DB9"/>
    <w:rsid w:val="00B31E5A"/>
    <w:rsid w:val="00B35453"/>
    <w:rsid w:val="00B4408B"/>
    <w:rsid w:val="00B45F13"/>
    <w:rsid w:val="00B465D8"/>
    <w:rsid w:val="00B46CBE"/>
    <w:rsid w:val="00B47359"/>
    <w:rsid w:val="00B579AB"/>
    <w:rsid w:val="00B6028F"/>
    <w:rsid w:val="00B62D0B"/>
    <w:rsid w:val="00B653AB"/>
    <w:rsid w:val="00B65F9E"/>
    <w:rsid w:val="00B6639B"/>
    <w:rsid w:val="00B66B19"/>
    <w:rsid w:val="00B67F00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A74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1E2A"/>
    <w:rsid w:val="00BF27FA"/>
    <w:rsid w:val="00BF2E69"/>
    <w:rsid w:val="00BF2F72"/>
    <w:rsid w:val="00BF402D"/>
    <w:rsid w:val="00BF4AA9"/>
    <w:rsid w:val="00BF768F"/>
    <w:rsid w:val="00C00A98"/>
    <w:rsid w:val="00C013B9"/>
    <w:rsid w:val="00C030DE"/>
    <w:rsid w:val="00C051A8"/>
    <w:rsid w:val="00C10B32"/>
    <w:rsid w:val="00C10C66"/>
    <w:rsid w:val="00C14F50"/>
    <w:rsid w:val="00C15327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379C"/>
    <w:rsid w:val="00C4478E"/>
    <w:rsid w:val="00C4500A"/>
    <w:rsid w:val="00C50128"/>
    <w:rsid w:val="00C52FFC"/>
    <w:rsid w:val="00C56B13"/>
    <w:rsid w:val="00C6036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50A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30FC"/>
    <w:rsid w:val="00CB490A"/>
    <w:rsid w:val="00CB689D"/>
    <w:rsid w:val="00CB6975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E57B4"/>
    <w:rsid w:val="00CE59A9"/>
    <w:rsid w:val="00CF076D"/>
    <w:rsid w:val="00CF0D68"/>
    <w:rsid w:val="00CF111C"/>
    <w:rsid w:val="00CF18EE"/>
    <w:rsid w:val="00CF278D"/>
    <w:rsid w:val="00CF30BD"/>
    <w:rsid w:val="00CF4099"/>
    <w:rsid w:val="00CF4B37"/>
    <w:rsid w:val="00CF5EBF"/>
    <w:rsid w:val="00D00796"/>
    <w:rsid w:val="00D01013"/>
    <w:rsid w:val="00D02342"/>
    <w:rsid w:val="00D0314E"/>
    <w:rsid w:val="00D04A10"/>
    <w:rsid w:val="00D10688"/>
    <w:rsid w:val="00D11050"/>
    <w:rsid w:val="00D1265D"/>
    <w:rsid w:val="00D15D1B"/>
    <w:rsid w:val="00D243CE"/>
    <w:rsid w:val="00D24B05"/>
    <w:rsid w:val="00D261A2"/>
    <w:rsid w:val="00D262A8"/>
    <w:rsid w:val="00D2709F"/>
    <w:rsid w:val="00D2742F"/>
    <w:rsid w:val="00D30000"/>
    <w:rsid w:val="00D307AD"/>
    <w:rsid w:val="00D30ADE"/>
    <w:rsid w:val="00D31400"/>
    <w:rsid w:val="00D3203A"/>
    <w:rsid w:val="00D37073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37C9"/>
    <w:rsid w:val="00D75BFC"/>
    <w:rsid w:val="00D762A5"/>
    <w:rsid w:val="00D76F96"/>
    <w:rsid w:val="00D80AAB"/>
    <w:rsid w:val="00D82888"/>
    <w:rsid w:val="00D8397C"/>
    <w:rsid w:val="00D9287C"/>
    <w:rsid w:val="00D94EED"/>
    <w:rsid w:val="00D96026"/>
    <w:rsid w:val="00D972F6"/>
    <w:rsid w:val="00D97E1E"/>
    <w:rsid w:val="00DA331D"/>
    <w:rsid w:val="00DA3C88"/>
    <w:rsid w:val="00DA534F"/>
    <w:rsid w:val="00DA7C1C"/>
    <w:rsid w:val="00DB01A6"/>
    <w:rsid w:val="00DB0536"/>
    <w:rsid w:val="00DB147A"/>
    <w:rsid w:val="00DB1B7A"/>
    <w:rsid w:val="00DB3752"/>
    <w:rsid w:val="00DB3788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0CFC"/>
    <w:rsid w:val="00DF42C0"/>
    <w:rsid w:val="00DF587A"/>
    <w:rsid w:val="00DF5D38"/>
    <w:rsid w:val="00DF5E32"/>
    <w:rsid w:val="00DF708F"/>
    <w:rsid w:val="00DF7BB9"/>
    <w:rsid w:val="00E01436"/>
    <w:rsid w:val="00E027F0"/>
    <w:rsid w:val="00E02F90"/>
    <w:rsid w:val="00E03E79"/>
    <w:rsid w:val="00E045BD"/>
    <w:rsid w:val="00E04D6C"/>
    <w:rsid w:val="00E10347"/>
    <w:rsid w:val="00E114AE"/>
    <w:rsid w:val="00E17B77"/>
    <w:rsid w:val="00E231AB"/>
    <w:rsid w:val="00E23337"/>
    <w:rsid w:val="00E245B1"/>
    <w:rsid w:val="00E2471E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86D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023"/>
    <w:rsid w:val="00E572D9"/>
    <w:rsid w:val="00E60425"/>
    <w:rsid w:val="00E60642"/>
    <w:rsid w:val="00E610C8"/>
    <w:rsid w:val="00E61970"/>
    <w:rsid w:val="00E61E56"/>
    <w:rsid w:val="00E63B0C"/>
    <w:rsid w:val="00E664C5"/>
    <w:rsid w:val="00E671A2"/>
    <w:rsid w:val="00E70F8F"/>
    <w:rsid w:val="00E76D26"/>
    <w:rsid w:val="00E76EE5"/>
    <w:rsid w:val="00E84813"/>
    <w:rsid w:val="00E8524C"/>
    <w:rsid w:val="00E93DB8"/>
    <w:rsid w:val="00E948B2"/>
    <w:rsid w:val="00E953FE"/>
    <w:rsid w:val="00E95B8E"/>
    <w:rsid w:val="00E9661E"/>
    <w:rsid w:val="00E96919"/>
    <w:rsid w:val="00E96E0C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E44"/>
    <w:rsid w:val="00EB4F67"/>
    <w:rsid w:val="00EB556D"/>
    <w:rsid w:val="00EB5A7D"/>
    <w:rsid w:val="00EB6BB4"/>
    <w:rsid w:val="00EC2817"/>
    <w:rsid w:val="00EC4647"/>
    <w:rsid w:val="00EC512C"/>
    <w:rsid w:val="00EC73D3"/>
    <w:rsid w:val="00ED460F"/>
    <w:rsid w:val="00ED55C0"/>
    <w:rsid w:val="00ED5DBC"/>
    <w:rsid w:val="00ED682B"/>
    <w:rsid w:val="00EE41D5"/>
    <w:rsid w:val="00EE4563"/>
    <w:rsid w:val="00EE6F8E"/>
    <w:rsid w:val="00EE7592"/>
    <w:rsid w:val="00EE79FF"/>
    <w:rsid w:val="00EF1488"/>
    <w:rsid w:val="00EF4291"/>
    <w:rsid w:val="00F00172"/>
    <w:rsid w:val="00F0166F"/>
    <w:rsid w:val="00F031DF"/>
    <w:rsid w:val="00F037A4"/>
    <w:rsid w:val="00F049AB"/>
    <w:rsid w:val="00F07A42"/>
    <w:rsid w:val="00F107D9"/>
    <w:rsid w:val="00F10AD7"/>
    <w:rsid w:val="00F13AEF"/>
    <w:rsid w:val="00F142DB"/>
    <w:rsid w:val="00F145A8"/>
    <w:rsid w:val="00F15EA6"/>
    <w:rsid w:val="00F16054"/>
    <w:rsid w:val="00F16692"/>
    <w:rsid w:val="00F223F0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222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www.youtube.com/channel/UC0wiQMElFgYszpAoYgTnXtg/featured" TargetMode="External"/><Relationship Id="rId39" Type="http://schemas.openxmlformats.org/officeDocument/2006/relationships/footer" Target="footer3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615,term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+48124204050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stat.gov.pl/en/topics/culture-tourism-sport/culture/financial-results-of-cultural-institutions-in-the-first-quarter-of-2024,13,29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www.instagram.com/gus_stat/" TargetMode="External"/><Relationship Id="rId32" Type="http://schemas.openxmlformats.org/officeDocument/2006/relationships/hyperlink" Target="https://stat.gov.pl/en/metainformation/glossary/terms-used-in-official-statistics/158,term.html" TargetMode="External"/><Relationship Id="rId37" Type="http://schemas.openxmlformats.org/officeDocument/2006/relationships/hyperlink" Target="https://stat.gov.pl/en/metainformation/glossary/terms-used-in-official-statistics/12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36" Type="http://schemas.openxmlformats.org/officeDocument/2006/relationships/hyperlink" Target="https://stat.gov.pl/en/metainformation/glossary/terms-used-in-official-statistics/229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en/" TargetMode="External"/><Relationship Id="rId31" Type="http://schemas.openxmlformats.org/officeDocument/2006/relationships/hyperlink" Target="https://stat.gov.pl/en/metainformation/glossary/terms-used-in-official-statistics/395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facebook.com/GlownyUrzadStatystyczny/" TargetMode="External"/><Relationship Id="rId27" Type="http://schemas.openxmlformats.org/officeDocument/2006/relationships/hyperlink" Target="https://pl.linkedin.com/company/glownyurzadstatystyczny" TargetMode="External"/><Relationship Id="rId30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5" Type="http://schemas.openxmlformats.org/officeDocument/2006/relationships/hyperlink" Target="https://stat.gov.pl/en/metainformation/glossary/terms-used-in-official-statistics/223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stat.gov.pl/en/metainformation/glossary/terms-used-in-official-statistics/613,term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04_Financial results of cultural institutions in the first quarter of 2024.docx.docx</NazwaPliku>
    <Osoba xmlns="1E9983FF-DC4B-4F4E-A072-0441E2B88E6D">STAT\JASIOLEKM</Osoba>
    <Odbiorcy2 xmlns="1E9983FF-DC4B-4F4E-A072-0441E2B88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961910A-79B3-4D6E-AD3B-B773DB5F1FE4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DCCDD736-10D0-4CC4-98F5-92E6C6E24A73}"/>
</file>

<file path=customXml/itemProps4.xml><?xml version="1.0" encoding="utf-8"?>
<ds:datastoreItem xmlns:ds="http://schemas.openxmlformats.org/officeDocument/2006/customXml" ds:itemID="{B67AD660-FCA5-4B10-8C68-2703C0BC3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1079</Words>
  <Characters>6480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</vt:lpstr>
    </vt:vector>
  </TitlesOfParts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Poland</dc:creator>
  <cp:keywords/>
  <dc:description/>
  <cp:lastPrinted>2023-02-24T09:20:00Z</cp:lastPrinted>
  <dcterms:created xsi:type="dcterms:W3CDTF">2024-09-06T12:12:00Z</dcterms:created>
  <dcterms:modified xsi:type="dcterms:W3CDTF">2024-09-09T07:40:00Z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