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0B9566A6" w:rsidR="00393761" w:rsidRPr="00453F5C" w:rsidRDefault="0060415C" w:rsidP="00F049AB">
      <w:pPr>
        <w:pStyle w:val="Tytuinfomacjisygnalnej"/>
        <w:rPr>
          <w:lang w:val="en-GB"/>
        </w:rPr>
      </w:pPr>
      <w:bookmarkStart w:id="0" w:name="_GoBack"/>
      <w:bookmarkEnd w:id="0"/>
      <w:r w:rsidRPr="0060415C">
        <w:rPr>
          <w:rFonts w:cs="Fira Sans Extra Condensed SemiB"/>
          <w:bCs/>
          <w:spacing w:val="-2"/>
          <w:szCs w:val="40"/>
          <w:lang w:val="en-GB"/>
        </w:rPr>
        <w:t>Financial results of cultural institutions in the period January–September 202</w:t>
      </w:r>
      <w:r w:rsidR="005B6D5B">
        <w:rPr>
          <w:rFonts w:cs="Fira Sans Extra Condensed SemiB"/>
          <w:bCs/>
          <w:spacing w:val="-2"/>
          <w:szCs w:val="40"/>
          <w:lang w:val="en-GB"/>
        </w:rPr>
        <w:t>4</w:t>
      </w:r>
    </w:p>
    <w:p w14:paraId="55F50C27" w14:textId="18116E49" w:rsidR="007A3289" w:rsidRPr="006B71F6" w:rsidRDefault="006D7409" w:rsidP="007A3289">
      <w:pPr>
        <w:pStyle w:val="Lead"/>
        <w:spacing w:before="840" w:after="840"/>
        <w:rPr>
          <w:lang w:val="en-US"/>
        </w:rPr>
      </w:pPr>
      <w:r w:rsidRPr="007F2048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FC13F97" wp14:editId="408B4D4C">
                <wp:simplePos x="0" y="0"/>
                <wp:positionH relativeFrom="margin">
                  <wp:posOffset>-12065</wp:posOffset>
                </wp:positionH>
                <wp:positionV relativeFrom="paragraph">
                  <wp:posOffset>12065</wp:posOffset>
                </wp:positionV>
                <wp:extent cx="2204085" cy="1154430"/>
                <wp:effectExtent l="0" t="0" r="5715" b="7620"/>
                <wp:wrapSquare wrapText="bothSides"/>
                <wp:docPr id="6" name="Pole tekstowe 2" descr="Arrow icon pointing upwards, presenting 14.5% increase of the total revenues in comparison to previous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44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E2E0D" w14:textId="42230F62" w:rsidR="00E50FC5" w:rsidRPr="00DD00FF" w:rsidRDefault="00FF3C55" w:rsidP="00E50FC5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="006601AB" w:rsidRPr="00DF498E">
                              <w:rPr>
                                <w:rStyle w:val="WartowskanikaZnak"/>
                                <w:lang w:val="en-GB"/>
                              </w:rPr>
                              <w:t xml:space="preserve"> </w:t>
                            </w:r>
                            <w:r w:rsidR="005B6D5B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14.5</w:t>
                            </w:r>
                            <w:r w:rsidR="00E50FC5" w:rsidRPr="00DD00FF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63B3F253" w14:textId="07616CE5" w:rsidR="00FF3C55" w:rsidRPr="007A3289" w:rsidRDefault="0031756B" w:rsidP="00D520C9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>T</w:t>
                            </w:r>
                            <w:r w:rsidR="00DD00FF"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>otal revenues</w:t>
                            </w:r>
                            <w:r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 xml:space="preserve"> increase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Arrow icon pointing upwards, presenting 14.5% increase of the total revenues in comparison to previous year" style="position:absolute;margin-left:-.95pt;margin-top:.95pt;width:173.55pt;height:90.9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" fillcolor="#001d77" stroked="f">
                <v:stroke joinstyle="miter"/>
                <v:textbox>
                  <w:txbxContent>
                    <w:p w14:paraId="35AE2E0D" w14:textId="42230F62" w:rsidR="00E50FC5" w:rsidRPr="00DD00FF" w:rsidRDefault="00FF3C55" w:rsidP="00E50FC5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="006601AB" w:rsidRPr="00DF498E">
                        <w:rPr>
                          <w:rStyle w:val="WartowskanikaZnak"/>
                          <w:lang w:val="en-GB"/>
                        </w:rPr>
                        <w:t xml:space="preserve"> </w:t>
                      </w:r>
                      <w:r w:rsidR="005B6D5B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14.5</w:t>
                      </w:r>
                      <w:r w:rsidR="00E50FC5" w:rsidRPr="00DD00FF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63B3F253" w14:textId="07616CE5" w:rsidR="00FF3C55" w:rsidRPr="007A3289" w:rsidRDefault="0031756B" w:rsidP="00D520C9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color w:val="FFFFFF"/>
                          <w:szCs w:val="20"/>
                          <w:lang w:val="en-GB"/>
                        </w:rPr>
                        <w:t>T</w:t>
                      </w:r>
                      <w:r w:rsidR="00DD00FF">
                        <w:rPr>
                          <w:color w:val="FFFFFF"/>
                          <w:szCs w:val="20"/>
                          <w:lang w:val="en-GB"/>
                        </w:rPr>
                        <w:t>otal revenues</w:t>
                      </w:r>
                      <w:r>
                        <w:rPr>
                          <w:color w:val="FFFFFF"/>
                          <w:szCs w:val="20"/>
                          <w:lang w:val="en-GB"/>
                        </w:rPr>
                        <w:t xml:space="preserve"> increase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4C2930" w:rsidRPr="007F2048">
        <w:rPr>
          <w:lang w:val="en-US"/>
        </w:rPr>
        <w:t>The financial results of cultural institution</w:t>
      </w:r>
      <w:r w:rsidR="006B71F6">
        <w:rPr>
          <w:lang w:val="en-US"/>
        </w:rPr>
        <w:t>s for the three quarters of 2024</w:t>
      </w:r>
      <w:r w:rsidR="004C2930" w:rsidRPr="007F2048">
        <w:rPr>
          <w:lang w:val="en-US"/>
        </w:rPr>
        <w:t xml:space="preserve"> were higher compared to those obtained in the same period of the previous year. </w:t>
      </w:r>
      <w:r w:rsidR="006B71F6">
        <w:rPr>
          <w:lang w:val="en-US"/>
        </w:rPr>
        <w:t>Total revenues increased by 14.5</w:t>
      </w:r>
      <w:r w:rsidR="004C2930" w:rsidRPr="007F2048">
        <w:rPr>
          <w:lang w:val="en-US"/>
        </w:rPr>
        <w:t xml:space="preserve">% during this time, </w:t>
      </w:r>
      <w:r w:rsidR="006B71F6">
        <w:rPr>
          <w:lang w:val="en-US"/>
        </w:rPr>
        <w:t xml:space="preserve">total costs increased by 14.6% </w:t>
      </w:r>
      <w:r w:rsidR="004C2930" w:rsidRPr="007F2048">
        <w:rPr>
          <w:lang w:val="en-US"/>
        </w:rPr>
        <w:t xml:space="preserve">and </w:t>
      </w:r>
      <w:r w:rsidR="006B71F6">
        <w:rPr>
          <w:lang w:val="en-US"/>
        </w:rPr>
        <w:t xml:space="preserve">capital expenditures </w:t>
      </w:r>
      <w:r w:rsidR="00F97F12">
        <w:rPr>
          <w:lang w:val="en-US"/>
        </w:rPr>
        <w:t xml:space="preserve">decreased </w:t>
      </w:r>
      <w:r w:rsidR="006B71F6">
        <w:rPr>
          <w:lang w:val="en-US"/>
        </w:rPr>
        <w:t>by 5.3</w:t>
      </w:r>
      <w:r w:rsidR="004C2930" w:rsidRPr="007F2048">
        <w:rPr>
          <w:lang w:val="en-US"/>
        </w:rPr>
        <w:t>%</w:t>
      </w:r>
      <w:r w:rsidR="004C2930" w:rsidRPr="004C2930">
        <w:rPr>
          <w:color w:val="001D77"/>
          <w:lang w:val="en-US"/>
        </w:rPr>
        <w:t>.</w:t>
      </w:r>
    </w:p>
    <w:p w14:paraId="33FB8702" w14:textId="097A8A02" w:rsidR="00955899" w:rsidRDefault="00DD00FF" w:rsidP="00E50FC5">
      <w:pPr>
        <w:spacing w:before="240" w:line="288" w:lineRule="auto"/>
        <w:rPr>
          <w:lang w:val="en-GB"/>
        </w:rPr>
      </w:pPr>
      <w:r>
        <w:rPr>
          <w:lang w:val="en-GB"/>
        </w:rPr>
        <w:t>Total revenues of cultural i</w:t>
      </w:r>
      <w:r w:rsidR="001E7758">
        <w:rPr>
          <w:lang w:val="en-GB"/>
        </w:rPr>
        <w:t xml:space="preserve">nstitutions </w:t>
      </w:r>
      <w:r w:rsidR="004B6101">
        <w:rPr>
          <w:lang w:val="en-GB"/>
        </w:rPr>
        <w:t>for</w:t>
      </w:r>
      <w:r w:rsidR="001E7758">
        <w:rPr>
          <w:lang w:val="en-GB"/>
        </w:rPr>
        <w:t xml:space="preserve"> the first</w:t>
      </w:r>
      <w:r w:rsidR="00E21E00">
        <w:rPr>
          <w:lang w:val="en-GB"/>
        </w:rPr>
        <w:t xml:space="preserve"> three</w:t>
      </w:r>
      <w:r w:rsidR="001E7758">
        <w:rPr>
          <w:lang w:val="en-GB"/>
        </w:rPr>
        <w:t xml:space="preserve"> </w:t>
      </w:r>
      <w:r w:rsidR="004B6101">
        <w:rPr>
          <w:lang w:val="en-GB"/>
        </w:rPr>
        <w:t xml:space="preserve">quarters </w:t>
      </w:r>
      <w:r w:rsidR="00F4516E">
        <w:rPr>
          <w:lang w:val="en-GB"/>
        </w:rPr>
        <w:t>of 2024</w:t>
      </w:r>
      <w:r w:rsidR="001D37F9">
        <w:rPr>
          <w:lang w:val="en-GB"/>
        </w:rPr>
        <w:t xml:space="preserve"> </w:t>
      </w:r>
      <w:r w:rsidR="009F4F33">
        <w:rPr>
          <w:lang w:val="en-GB"/>
        </w:rPr>
        <w:t>were</w:t>
      </w:r>
      <w:r w:rsidR="00F4516E">
        <w:rPr>
          <w:lang w:val="en-GB"/>
        </w:rPr>
        <w:t xml:space="preserve"> 14.5</w:t>
      </w:r>
      <w:r w:rsidR="001E7758">
        <w:rPr>
          <w:lang w:val="en-GB"/>
        </w:rPr>
        <w:t xml:space="preserve">% </w:t>
      </w:r>
      <w:r w:rsidR="009F4F33">
        <w:rPr>
          <w:lang w:val="en-GB"/>
        </w:rPr>
        <w:t xml:space="preserve">higher than </w:t>
      </w:r>
      <w:r w:rsidR="00F36501">
        <w:rPr>
          <w:lang w:val="en-GB"/>
        </w:rPr>
        <w:t xml:space="preserve">in </w:t>
      </w:r>
      <w:r w:rsidR="009F4F33">
        <w:rPr>
          <w:lang w:val="en-GB"/>
        </w:rPr>
        <w:t xml:space="preserve">the previous year </w:t>
      </w:r>
      <w:r w:rsidR="001E7758">
        <w:rPr>
          <w:lang w:val="en-GB"/>
        </w:rPr>
        <w:t xml:space="preserve">and </w:t>
      </w:r>
      <w:r w:rsidR="001D37F9">
        <w:rPr>
          <w:lang w:val="en-GB"/>
        </w:rPr>
        <w:t xml:space="preserve">amounted </w:t>
      </w:r>
      <w:r w:rsidR="008A5E7E">
        <w:rPr>
          <w:lang w:val="en-GB"/>
        </w:rPr>
        <w:t xml:space="preserve">to </w:t>
      </w:r>
      <w:r w:rsidR="001E7758">
        <w:rPr>
          <w:lang w:val="en-GB"/>
        </w:rPr>
        <w:t xml:space="preserve">PLN </w:t>
      </w:r>
      <w:r w:rsidR="00F4516E">
        <w:rPr>
          <w:lang w:val="en-GB"/>
        </w:rPr>
        <w:t>12,020.9</w:t>
      </w:r>
      <w:r w:rsidR="001D37F9">
        <w:rPr>
          <w:lang w:val="en-GB"/>
        </w:rPr>
        <w:t xml:space="preserve"> million.</w:t>
      </w:r>
      <w:r w:rsidR="00BE7990">
        <w:rPr>
          <w:lang w:val="en-GB"/>
        </w:rPr>
        <w:t xml:space="preserve"> The structure of the revenues was composed of net revenues from sales of pro</w:t>
      </w:r>
      <w:r w:rsidR="001E7758">
        <w:rPr>
          <w:lang w:val="en-GB"/>
        </w:rPr>
        <w:t>ducts, goods and materials (92.</w:t>
      </w:r>
      <w:r w:rsidR="000A16FB">
        <w:rPr>
          <w:lang w:val="en-GB"/>
        </w:rPr>
        <w:t>5</w:t>
      </w:r>
      <w:r w:rsidR="00BE7990">
        <w:rPr>
          <w:lang w:val="en-GB"/>
        </w:rPr>
        <w:t>%</w:t>
      </w:r>
      <w:r w:rsidR="001E7758">
        <w:rPr>
          <w:lang w:val="en-GB"/>
        </w:rPr>
        <w:t>), other operating revenues (</w:t>
      </w:r>
      <w:r w:rsidR="007F2048">
        <w:rPr>
          <w:lang w:val="en-GB"/>
        </w:rPr>
        <w:t>7</w:t>
      </w:r>
      <w:r w:rsidR="001E7758">
        <w:rPr>
          <w:lang w:val="en-GB"/>
        </w:rPr>
        <w:t>.</w:t>
      </w:r>
      <w:r w:rsidR="000A16FB">
        <w:rPr>
          <w:lang w:val="en-GB"/>
        </w:rPr>
        <w:t>2</w:t>
      </w:r>
      <w:r w:rsidR="00BE7990">
        <w:rPr>
          <w:lang w:val="en-GB"/>
        </w:rPr>
        <w:t>%) and financial revenues (0.3%).</w:t>
      </w:r>
      <w:r w:rsidR="00337EB0">
        <w:rPr>
          <w:lang w:val="en-GB"/>
        </w:rPr>
        <w:t xml:space="preserve"> </w:t>
      </w:r>
      <w:r w:rsidR="000D1728">
        <w:rPr>
          <w:lang w:val="en-GB"/>
        </w:rPr>
        <w:t>Almost</w:t>
      </w:r>
      <w:r w:rsidR="00BE7990">
        <w:rPr>
          <w:lang w:val="en-GB"/>
        </w:rPr>
        <w:t xml:space="preserve"> 2</w:t>
      </w:r>
      <w:r w:rsidR="000A16FB">
        <w:rPr>
          <w:lang w:val="en-GB"/>
        </w:rPr>
        <w:t>5</w:t>
      </w:r>
      <w:r w:rsidR="00BE7990">
        <w:rPr>
          <w:lang w:val="en-GB"/>
        </w:rPr>
        <w:t xml:space="preserve">% of the total revenues were </w:t>
      </w:r>
      <w:r w:rsidR="000D1728">
        <w:rPr>
          <w:lang w:val="en-GB"/>
        </w:rPr>
        <w:t>total revenues of</w:t>
      </w:r>
      <w:r w:rsidR="00BE7990">
        <w:rPr>
          <w:lang w:val="en-GB"/>
        </w:rPr>
        <w:t xml:space="preserve"> cultural institutions from </w:t>
      </w:r>
      <w:proofErr w:type="spellStart"/>
      <w:r w:rsidR="00BE7990">
        <w:rPr>
          <w:lang w:val="en-GB"/>
        </w:rPr>
        <w:t>Mazowieckie</w:t>
      </w:r>
      <w:proofErr w:type="spellEnd"/>
      <w:r w:rsidR="00BE7990">
        <w:rPr>
          <w:lang w:val="en-GB"/>
        </w:rPr>
        <w:t xml:space="preserve"> Voivodship.</w:t>
      </w:r>
    </w:p>
    <w:p w14:paraId="1510133D" w14:textId="30BA9684" w:rsidR="00E50FC5" w:rsidRPr="00955899" w:rsidRDefault="00E50FC5" w:rsidP="00E50FC5">
      <w:pPr>
        <w:spacing w:before="240" w:line="288" w:lineRule="auto"/>
        <w:rPr>
          <w:lang w:val="en-GB"/>
        </w:rPr>
      </w:pPr>
      <w:r w:rsidRPr="0067773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102D4AEE" wp14:editId="71F31857">
                <wp:simplePos x="0" y="0"/>
                <wp:positionH relativeFrom="column">
                  <wp:posOffset>5264150</wp:posOffset>
                </wp:positionH>
                <wp:positionV relativeFrom="paragraph">
                  <wp:posOffset>198755</wp:posOffset>
                </wp:positionV>
                <wp:extent cx="1718945" cy="1009015"/>
                <wp:effectExtent l="0" t="0" r="0" b="635"/>
                <wp:wrapTight wrapText="bothSides">
                  <wp:wrapPolygon edited="0">
                    <wp:start x="718" y="0"/>
                    <wp:lineTo x="718" y="21206"/>
                    <wp:lineTo x="20826" y="21206"/>
                    <wp:lineTo x="20826" y="0"/>
                    <wp:lineTo x="718" y="0"/>
                  </wp:wrapPolygon>
                </wp:wrapTight>
                <wp:docPr id="4" name="Pole tekstowe 4" descr="Total revenues of gmina cultural institutions for the first three quarters of 2024 amounted to PLN 6,885.2 mill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FEC3" w14:textId="57C37C88" w:rsidR="00E50FC5" w:rsidRPr="001D37F9" w:rsidRDefault="00364ABA" w:rsidP="00E50FC5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Total revenues of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gmina</w:t>
                            </w:r>
                            <w:r w:rsidR="00FC32BA">
                              <w:rPr>
                                <w:lang w:val="en-GB"/>
                              </w:rPr>
                              <w:t>s</w:t>
                            </w:r>
                            <w:proofErr w:type="spellEnd"/>
                            <w:r w:rsidR="00FC32BA">
                              <w:rPr>
                                <w:lang w:val="en-GB"/>
                              </w:rPr>
                              <w:t>’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1D37F9" w:rsidRPr="001D37F9">
                              <w:rPr>
                                <w:lang w:val="en-GB"/>
                              </w:rPr>
                              <w:t>cultural i</w:t>
                            </w:r>
                            <w:r w:rsidR="00F613AA">
                              <w:rPr>
                                <w:lang w:val="en-GB"/>
                              </w:rPr>
                              <w:t xml:space="preserve">nstitutions </w:t>
                            </w:r>
                            <w:r w:rsidR="004B6101">
                              <w:rPr>
                                <w:lang w:val="en-GB"/>
                              </w:rPr>
                              <w:t>for</w:t>
                            </w:r>
                            <w:r w:rsidR="00F613AA">
                              <w:rPr>
                                <w:lang w:val="en-GB"/>
                              </w:rPr>
                              <w:t xml:space="preserve"> the first</w:t>
                            </w:r>
                            <w:r w:rsidR="00E21E00">
                              <w:rPr>
                                <w:lang w:val="en-GB"/>
                              </w:rPr>
                              <w:t xml:space="preserve"> three</w:t>
                            </w:r>
                            <w:r w:rsidR="00F613AA">
                              <w:rPr>
                                <w:lang w:val="en-GB"/>
                              </w:rPr>
                              <w:t xml:space="preserve"> </w:t>
                            </w:r>
                            <w:r w:rsidR="004B6101">
                              <w:rPr>
                                <w:lang w:val="en-GB"/>
                              </w:rPr>
                              <w:t xml:space="preserve">quarters </w:t>
                            </w:r>
                            <w:r w:rsidR="00A217E1">
                              <w:rPr>
                                <w:lang w:val="en-GB"/>
                              </w:rPr>
                              <w:t>of 2024</w:t>
                            </w:r>
                            <w:r w:rsidR="009F4F33">
                              <w:rPr>
                                <w:lang w:val="en-GB"/>
                              </w:rPr>
                              <w:t xml:space="preserve"> amounted to PLN</w:t>
                            </w:r>
                            <w:r w:rsidR="00467C13">
                              <w:rPr>
                                <w:lang w:val="en-GB"/>
                              </w:rPr>
                              <w:t> </w:t>
                            </w:r>
                            <w:r w:rsidR="00A217E1">
                              <w:rPr>
                                <w:lang w:val="en-GB"/>
                              </w:rPr>
                              <w:t>6,885.2</w:t>
                            </w:r>
                            <w:r w:rsidR="001D37F9">
                              <w:rPr>
                                <w:lang w:val="en-GB"/>
                              </w:rPr>
                              <w:t xml:space="preserve"> million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D4AEE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alt="Total revenues of gmina cultural institutions for the first three quarters of 2024 amounted to PLN 6,885.2 million" style="position:absolute;margin-left:414.5pt;margin-top:15.65pt;width:135.35pt;height:79.45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" filled="f" stroked="f">
                <v:textbox>
                  <w:txbxContent>
                    <w:p w14:paraId="4759FEC3" w14:textId="57C37C88" w:rsidR="00E50FC5" w:rsidRPr="001D37F9" w:rsidRDefault="00364ABA" w:rsidP="00E50FC5">
                      <w:pPr>
                        <w:pStyle w:val="tekstzboku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Total revenues of </w:t>
                      </w:r>
                      <w:proofErr w:type="spellStart"/>
                      <w:r>
                        <w:rPr>
                          <w:lang w:val="en-GB"/>
                        </w:rPr>
                        <w:t>gmina</w:t>
                      </w:r>
                      <w:r w:rsidR="00FC32BA">
                        <w:rPr>
                          <w:lang w:val="en-GB"/>
                        </w:rPr>
                        <w:t>s</w:t>
                      </w:r>
                      <w:proofErr w:type="spellEnd"/>
                      <w:r w:rsidR="00FC32BA">
                        <w:rPr>
                          <w:lang w:val="en-GB"/>
                        </w:rPr>
                        <w:t>’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1D37F9" w:rsidRPr="001D37F9">
                        <w:rPr>
                          <w:lang w:val="en-GB"/>
                        </w:rPr>
                        <w:t>cultural i</w:t>
                      </w:r>
                      <w:r w:rsidR="00F613AA">
                        <w:rPr>
                          <w:lang w:val="en-GB"/>
                        </w:rPr>
                        <w:t xml:space="preserve">nstitutions </w:t>
                      </w:r>
                      <w:r w:rsidR="004B6101">
                        <w:rPr>
                          <w:lang w:val="en-GB"/>
                        </w:rPr>
                        <w:t>for</w:t>
                      </w:r>
                      <w:r w:rsidR="00F613AA">
                        <w:rPr>
                          <w:lang w:val="en-GB"/>
                        </w:rPr>
                        <w:t xml:space="preserve"> the first</w:t>
                      </w:r>
                      <w:r w:rsidR="00E21E00">
                        <w:rPr>
                          <w:lang w:val="en-GB"/>
                        </w:rPr>
                        <w:t xml:space="preserve"> three</w:t>
                      </w:r>
                      <w:r w:rsidR="00F613AA">
                        <w:rPr>
                          <w:lang w:val="en-GB"/>
                        </w:rPr>
                        <w:t xml:space="preserve"> </w:t>
                      </w:r>
                      <w:r w:rsidR="004B6101">
                        <w:rPr>
                          <w:lang w:val="en-GB"/>
                        </w:rPr>
                        <w:t xml:space="preserve">quarters </w:t>
                      </w:r>
                      <w:r w:rsidR="00A217E1">
                        <w:rPr>
                          <w:lang w:val="en-GB"/>
                        </w:rPr>
                        <w:t>of 2024</w:t>
                      </w:r>
                      <w:r w:rsidR="009F4F33">
                        <w:rPr>
                          <w:lang w:val="en-GB"/>
                        </w:rPr>
                        <w:t xml:space="preserve"> amounted to PLN</w:t>
                      </w:r>
                      <w:r w:rsidR="00467C13">
                        <w:rPr>
                          <w:lang w:val="en-GB"/>
                        </w:rPr>
                        <w:t> </w:t>
                      </w:r>
                      <w:r w:rsidR="00A217E1">
                        <w:rPr>
                          <w:lang w:val="en-GB"/>
                        </w:rPr>
                        <w:t>6,885.2</w:t>
                      </w:r>
                      <w:r w:rsidR="001D37F9">
                        <w:rPr>
                          <w:lang w:val="en-GB"/>
                        </w:rPr>
                        <w:t xml:space="preserve"> million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A1D15">
        <w:rPr>
          <w:lang w:val="en-GB"/>
        </w:rPr>
        <w:t>On</w:t>
      </w:r>
      <w:r w:rsidR="008A5E7E">
        <w:rPr>
          <w:lang w:val="en-GB"/>
        </w:rPr>
        <w:t xml:space="preserve"> average total revenues per one cultural i</w:t>
      </w:r>
      <w:r w:rsidR="009F4F33">
        <w:rPr>
          <w:lang w:val="en-GB"/>
        </w:rPr>
        <w:t xml:space="preserve">nstitution amounted to PLN </w:t>
      </w:r>
      <w:r w:rsidR="007F2048">
        <w:rPr>
          <w:lang w:val="en-GB"/>
        </w:rPr>
        <w:t>2</w:t>
      </w:r>
      <w:r w:rsidR="009F4F33">
        <w:rPr>
          <w:lang w:val="en-GB"/>
        </w:rPr>
        <w:t>,</w:t>
      </w:r>
      <w:r w:rsidR="00976759">
        <w:rPr>
          <w:lang w:val="en-GB"/>
        </w:rPr>
        <w:t>554.9</w:t>
      </w:r>
      <w:r w:rsidR="008A5E7E">
        <w:rPr>
          <w:lang w:val="en-GB"/>
        </w:rPr>
        <w:t xml:space="preserve"> thousand. The highest </w:t>
      </w:r>
      <w:r w:rsidR="009074D6">
        <w:rPr>
          <w:lang w:val="en-GB"/>
        </w:rPr>
        <w:t xml:space="preserve">total revenues per one institution were achieved by cultural institutions in </w:t>
      </w:r>
      <w:proofErr w:type="spellStart"/>
      <w:r w:rsidR="009074D6">
        <w:rPr>
          <w:lang w:val="en-GB"/>
        </w:rPr>
        <w:t>Mazowieckie</w:t>
      </w:r>
      <w:proofErr w:type="spellEnd"/>
      <w:r w:rsidR="009074D6">
        <w:rPr>
          <w:lang w:val="en-GB"/>
        </w:rPr>
        <w:t xml:space="preserve"> Voi</w:t>
      </w:r>
      <w:r w:rsidR="009F4F33">
        <w:rPr>
          <w:lang w:val="en-GB"/>
        </w:rPr>
        <w:t xml:space="preserve">vodship – PLN </w:t>
      </w:r>
      <w:r w:rsidR="00C94453">
        <w:rPr>
          <w:lang w:val="en-GB"/>
        </w:rPr>
        <w:t>4</w:t>
      </w:r>
      <w:r w:rsidR="009F4F33">
        <w:rPr>
          <w:lang w:val="en-GB"/>
        </w:rPr>
        <w:t>,</w:t>
      </w:r>
      <w:r w:rsidR="00976759">
        <w:rPr>
          <w:lang w:val="en-GB"/>
        </w:rPr>
        <w:t>565.5</w:t>
      </w:r>
      <w:r w:rsidR="00EC787E">
        <w:rPr>
          <w:lang w:val="en-GB"/>
        </w:rPr>
        <w:t xml:space="preserve"> thousand </w:t>
      </w:r>
      <w:r w:rsidR="009074D6">
        <w:rPr>
          <w:lang w:val="en-GB"/>
        </w:rPr>
        <w:t xml:space="preserve">and the lowest in </w:t>
      </w:r>
      <w:proofErr w:type="spellStart"/>
      <w:r w:rsidR="009F4F33">
        <w:rPr>
          <w:lang w:val="en-GB"/>
        </w:rPr>
        <w:t>Lubelskie</w:t>
      </w:r>
      <w:proofErr w:type="spellEnd"/>
      <w:r w:rsidR="009F4F33">
        <w:rPr>
          <w:lang w:val="en-GB"/>
        </w:rPr>
        <w:t xml:space="preserve"> Voivodship – PLN </w:t>
      </w:r>
      <w:r w:rsidR="00976759">
        <w:rPr>
          <w:lang w:val="en-GB"/>
        </w:rPr>
        <w:t>1,239.6</w:t>
      </w:r>
      <w:r w:rsidR="009074D6">
        <w:rPr>
          <w:lang w:val="en-GB"/>
        </w:rPr>
        <w:t xml:space="preserve"> thousand.</w:t>
      </w:r>
      <w:r w:rsidR="00761D27">
        <w:rPr>
          <w:lang w:val="en-GB"/>
        </w:rPr>
        <w:t xml:space="preserve"> Total revenues of local</w:t>
      </w:r>
      <w:r w:rsidR="003907AE">
        <w:rPr>
          <w:lang w:val="en-GB"/>
        </w:rPr>
        <w:t xml:space="preserve"> </w:t>
      </w:r>
      <w:r w:rsidR="009827A6">
        <w:rPr>
          <w:lang w:val="en-GB"/>
        </w:rPr>
        <w:t xml:space="preserve">government </w:t>
      </w:r>
      <w:r w:rsidR="003907AE">
        <w:rPr>
          <w:lang w:val="en-GB"/>
        </w:rPr>
        <w:t xml:space="preserve">cultural institutions </w:t>
      </w:r>
      <w:r w:rsidR="00FA1D15">
        <w:rPr>
          <w:lang w:val="en-GB"/>
        </w:rPr>
        <w:t xml:space="preserve">amounted to </w:t>
      </w:r>
      <w:r w:rsidR="009F4F33">
        <w:rPr>
          <w:lang w:val="en-GB"/>
        </w:rPr>
        <w:t xml:space="preserve">PLN </w:t>
      </w:r>
      <w:r w:rsidR="00761D27">
        <w:rPr>
          <w:lang w:val="en-GB"/>
        </w:rPr>
        <w:t>9,823.1</w:t>
      </w:r>
      <w:r w:rsidR="003907AE">
        <w:rPr>
          <w:lang w:val="en-GB"/>
        </w:rPr>
        <w:t xml:space="preserve"> million</w:t>
      </w:r>
      <w:r w:rsidR="00761D27">
        <w:rPr>
          <w:lang w:val="en-GB"/>
        </w:rPr>
        <w:t xml:space="preserve"> (81.7%)</w:t>
      </w:r>
      <w:r w:rsidR="003907AE">
        <w:rPr>
          <w:lang w:val="en-GB"/>
        </w:rPr>
        <w:t xml:space="preserve">, </w:t>
      </w:r>
      <w:r w:rsidR="00761D27">
        <w:rPr>
          <w:lang w:val="en-GB"/>
        </w:rPr>
        <w:t>while total revenues of national</w:t>
      </w:r>
      <w:r w:rsidR="003907AE">
        <w:rPr>
          <w:lang w:val="en-GB"/>
        </w:rPr>
        <w:t xml:space="preserve"> government cultural institutions amounted </w:t>
      </w:r>
      <w:r w:rsidR="00577525">
        <w:rPr>
          <w:lang w:val="en-GB"/>
        </w:rPr>
        <w:t xml:space="preserve">to </w:t>
      </w:r>
      <w:r w:rsidR="003907AE">
        <w:rPr>
          <w:lang w:val="en-GB"/>
        </w:rPr>
        <w:t>PLN</w:t>
      </w:r>
      <w:r w:rsidR="009F4F33">
        <w:rPr>
          <w:lang w:val="en-GB"/>
        </w:rPr>
        <w:t xml:space="preserve"> </w:t>
      </w:r>
      <w:r w:rsidR="00761D27">
        <w:rPr>
          <w:lang w:val="en-GB"/>
        </w:rPr>
        <w:t>2,197.8 million (18.3%)</w:t>
      </w:r>
      <w:r w:rsidR="00577525">
        <w:rPr>
          <w:lang w:val="en-GB"/>
        </w:rPr>
        <w:t>.</w:t>
      </w:r>
      <w:r w:rsidR="00201973">
        <w:rPr>
          <w:lang w:val="en-GB"/>
        </w:rPr>
        <w:t xml:space="preserve"> </w:t>
      </w:r>
      <w:r w:rsidR="00FA1D15">
        <w:rPr>
          <w:lang w:val="en-GB"/>
        </w:rPr>
        <w:t>E</w:t>
      </w:r>
      <w:r w:rsidR="00C83801">
        <w:rPr>
          <w:lang w:val="en-GB"/>
        </w:rPr>
        <w:t>ntities conducting operation</w:t>
      </w:r>
      <w:r w:rsidR="00AE432C">
        <w:rPr>
          <w:lang w:val="en-GB"/>
        </w:rPr>
        <w:t xml:space="preserve"> </w:t>
      </w:r>
      <w:r w:rsidR="00C83801">
        <w:rPr>
          <w:lang w:val="en-GB"/>
        </w:rPr>
        <w:t>of arts</w:t>
      </w:r>
      <w:r w:rsidR="00993D34">
        <w:rPr>
          <w:lang w:val="en-GB"/>
        </w:rPr>
        <w:t xml:space="preserve"> facilities </w:t>
      </w:r>
      <w:r w:rsidR="00FA1D15">
        <w:rPr>
          <w:lang w:val="en-GB"/>
        </w:rPr>
        <w:t xml:space="preserve">had the largest share in total revenues of all cultural institutions </w:t>
      </w:r>
      <w:r w:rsidR="009F4F33">
        <w:rPr>
          <w:lang w:val="en-GB"/>
        </w:rPr>
        <w:t>– 4</w:t>
      </w:r>
      <w:r w:rsidR="00761D27">
        <w:rPr>
          <w:lang w:val="en-GB"/>
        </w:rPr>
        <w:t>0.8</w:t>
      </w:r>
      <w:r w:rsidR="00993D34">
        <w:rPr>
          <w:lang w:val="en-GB"/>
        </w:rPr>
        <w:t>%.</w:t>
      </w:r>
    </w:p>
    <w:p w14:paraId="01C6B45D" w14:textId="31B8471D" w:rsidR="00993D34" w:rsidRDefault="00AF423E" w:rsidP="00E50FC5">
      <w:pPr>
        <w:spacing w:line="288" w:lineRule="auto"/>
        <w:rPr>
          <w:lang w:val="en-GB"/>
        </w:rPr>
      </w:pPr>
      <w:r w:rsidRPr="00677735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00D901D9" wp14:editId="544A6D9E">
                <wp:simplePos x="0" y="0"/>
                <wp:positionH relativeFrom="column">
                  <wp:posOffset>5251450</wp:posOffset>
                </wp:positionH>
                <wp:positionV relativeFrom="paragraph">
                  <wp:posOffset>268605</wp:posOffset>
                </wp:positionV>
                <wp:extent cx="1790700" cy="1078230"/>
                <wp:effectExtent l="0" t="0" r="0" b="0"/>
                <wp:wrapTight wrapText="bothSides">
                  <wp:wrapPolygon edited="0">
                    <wp:start x="689" y="0"/>
                    <wp:lineTo x="689" y="20989"/>
                    <wp:lineTo x="20681" y="20989"/>
                    <wp:lineTo x="20681" y="0"/>
                    <wp:lineTo x="689" y="0"/>
                  </wp:wrapPolygon>
                </wp:wrapTight>
                <wp:docPr id="11" name="Pole tekstowe 11" descr="Net financial result of cultural institution for the first three quarters of 2024 amounted to PLN 736.5 mill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F4DE3" w14:textId="5CA1DDF2" w:rsidR="00E50FC5" w:rsidRPr="006E7A9A" w:rsidRDefault="006E7A9A" w:rsidP="00E50FC5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6E7A9A">
                              <w:rPr>
                                <w:lang w:val="en-GB"/>
                              </w:rPr>
                              <w:t xml:space="preserve">Net financial result of cultural </w:t>
                            </w:r>
                            <w:r w:rsidR="009F4F33">
                              <w:rPr>
                                <w:lang w:val="en-GB"/>
                              </w:rPr>
                              <w:t xml:space="preserve">institution </w:t>
                            </w:r>
                            <w:r w:rsidR="004B6101">
                              <w:rPr>
                                <w:lang w:val="en-GB"/>
                              </w:rPr>
                              <w:t>for</w:t>
                            </w:r>
                            <w:r w:rsidR="009F4F33">
                              <w:rPr>
                                <w:lang w:val="en-GB"/>
                              </w:rPr>
                              <w:t xml:space="preserve"> the first </w:t>
                            </w:r>
                            <w:r w:rsidR="00E21E00">
                              <w:rPr>
                                <w:lang w:val="en-GB"/>
                              </w:rPr>
                              <w:t xml:space="preserve">three </w:t>
                            </w:r>
                            <w:r w:rsidR="004B6101">
                              <w:rPr>
                                <w:lang w:val="en-GB"/>
                              </w:rPr>
                              <w:t>quarters</w:t>
                            </w:r>
                            <w:r w:rsidR="00800778">
                              <w:rPr>
                                <w:lang w:val="en-GB"/>
                              </w:rPr>
                              <w:t xml:space="preserve"> of 2024</w:t>
                            </w:r>
                            <w:r w:rsidRPr="006E7A9A">
                              <w:rPr>
                                <w:lang w:val="en-GB"/>
                              </w:rPr>
                              <w:t xml:space="preserve"> amounted to </w:t>
                            </w:r>
                            <w:r w:rsidR="009F4F33">
                              <w:rPr>
                                <w:lang w:val="en-GB"/>
                              </w:rPr>
                              <w:t xml:space="preserve">PLN </w:t>
                            </w:r>
                            <w:r w:rsidR="00800778">
                              <w:rPr>
                                <w:lang w:val="en-GB"/>
                              </w:rPr>
                              <w:t>736.5</w:t>
                            </w:r>
                            <w:r>
                              <w:rPr>
                                <w:lang w:val="en-GB"/>
                              </w:rPr>
                              <w:t xml:space="preserve"> million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901D9" id="Pole tekstowe 11" o:spid="_x0000_s1028" type="#_x0000_t202" alt="Net financial result of cultural institution for the first three quarters of 2024 amounted to PLN 736.5 million" style="position:absolute;margin-left:413.5pt;margin-top:21.15pt;width:141pt;height:84.9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" filled="f" stroked="f">
                <v:textbox>
                  <w:txbxContent>
                    <w:p w14:paraId="628F4DE3" w14:textId="5CA1DDF2" w:rsidR="00E50FC5" w:rsidRPr="006E7A9A" w:rsidRDefault="006E7A9A" w:rsidP="00E50FC5">
                      <w:pPr>
                        <w:pStyle w:val="tekstzboku"/>
                        <w:rPr>
                          <w:lang w:val="en-GB"/>
                        </w:rPr>
                      </w:pPr>
                      <w:r w:rsidRPr="006E7A9A">
                        <w:rPr>
                          <w:lang w:val="en-GB"/>
                        </w:rPr>
                        <w:t xml:space="preserve">Net financial result of cultural </w:t>
                      </w:r>
                      <w:r w:rsidR="009F4F33">
                        <w:rPr>
                          <w:lang w:val="en-GB"/>
                        </w:rPr>
                        <w:t xml:space="preserve">institution </w:t>
                      </w:r>
                      <w:r w:rsidR="004B6101">
                        <w:rPr>
                          <w:lang w:val="en-GB"/>
                        </w:rPr>
                        <w:t>for</w:t>
                      </w:r>
                      <w:r w:rsidR="009F4F33">
                        <w:rPr>
                          <w:lang w:val="en-GB"/>
                        </w:rPr>
                        <w:t xml:space="preserve"> the first </w:t>
                      </w:r>
                      <w:r w:rsidR="00E21E00">
                        <w:rPr>
                          <w:lang w:val="en-GB"/>
                        </w:rPr>
                        <w:t xml:space="preserve">three </w:t>
                      </w:r>
                      <w:r w:rsidR="004B6101">
                        <w:rPr>
                          <w:lang w:val="en-GB"/>
                        </w:rPr>
                        <w:t>quarters</w:t>
                      </w:r>
                      <w:r w:rsidR="00800778">
                        <w:rPr>
                          <w:lang w:val="en-GB"/>
                        </w:rPr>
                        <w:t xml:space="preserve"> of 2024</w:t>
                      </w:r>
                      <w:r w:rsidRPr="006E7A9A">
                        <w:rPr>
                          <w:lang w:val="en-GB"/>
                        </w:rPr>
                        <w:t xml:space="preserve"> amounted to </w:t>
                      </w:r>
                      <w:r w:rsidR="009F4F33">
                        <w:rPr>
                          <w:lang w:val="en-GB"/>
                        </w:rPr>
                        <w:t xml:space="preserve">PLN </w:t>
                      </w:r>
                      <w:r w:rsidR="00800778">
                        <w:rPr>
                          <w:lang w:val="en-GB"/>
                        </w:rPr>
                        <w:t>736.5</w:t>
                      </w:r>
                      <w:r>
                        <w:rPr>
                          <w:lang w:val="en-GB"/>
                        </w:rPr>
                        <w:t xml:space="preserve"> million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82F3A">
        <w:rPr>
          <w:lang w:val="en-GB"/>
        </w:rPr>
        <w:t xml:space="preserve">Total costs </w:t>
      </w:r>
      <w:r w:rsidR="00502E64">
        <w:rPr>
          <w:lang w:val="en-GB"/>
        </w:rPr>
        <w:t xml:space="preserve">of cultural institution </w:t>
      </w:r>
      <w:r w:rsidR="00782F3A">
        <w:rPr>
          <w:lang w:val="en-GB"/>
        </w:rPr>
        <w:t>during this</w:t>
      </w:r>
      <w:r w:rsidR="00736773">
        <w:rPr>
          <w:lang w:val="en-GB"/>
        </w:rPr>
        <w:t xml:space="preserve"> period</w:t>
      </w:r>
      <w:r w:rsidR="009F4F33">
        <w:rPr>
          <w:lang w:val="en-GB"/>
        </w:rPr>
        <w:t xml:space="preserve"> </w:t>
      </w:r>
      <w:r w:rsidR="00502E64">
        <w:rPr>
          <w:lang w:val="en-GB"/>
        </w:rPr>
        <w:t xml:space="preserve">amounted to PLN 11,282.9 million and </w:t>
      </w:r>
      <w:r w:rsidR="009F4F33">
        <w:rPr>
          <w:lang w:val="en-GB"/>
        </w:rPr>
        <w:t>were 1</w:t>
      </w:r>
      <w:r w:rsidR="00502E64">
        <w:rPr>
          <w:lang w:val="en-GB"/>
        </w:rPr>
        <w:t>4.6</w:t>
      </w:r>
      <w:r w:rsidR="00993D34">
        <w:rPr>
          <w:lang w:val="en-GB"/>
        </w:rPr>
        <w:t xml:space="preserve">% higher than in the previous </w:t>
      </w:r>
      <w:r w:rsidR="00502E64">
        <w:rPr>
          <w:lang w:val="en-GB"/>
        </w:rPr>
        <w:t>year</w:t>
      </w:r>
      <w:r w:rsidR="00993D34">
        <w:rPr>
          <w:lang w:val="en-GB"/>
        </w:rPr>
        <w:t xml:space="preserve">. </w:t>
      </w:r>
      <w:r w:rsidR="00FA1D15">
        <w:rPr>
          <w:lang w:val="en-GB"/>
        </w:rPr>
        <w:t>The</w:t>
      </w:r>
      <w:r w:rsidR="00993D34">
        <w:rPr>
          <w:lang w:val="en-GB"/>
        </w:rPr>
        <w:t xml:space="preserve"> structure of costs was composed of operating costs (9</w:t>
      </w:r>
      <w:r w:rsidR="00E71BF2">
        <w:rPr>
          <w:lang w:val="en-GB"/>
        </w:rPr>
        <w:t>8</w:t>
      </w:r>
      <w:r w:rsidR="00993D34">
        <w:rPr>
          <w:lang w:val="en-GB"/>
        </w:rPr>
        <w:t>.</w:t>
      </w:r>
      <w:r w:rsidR="00E71BF2">
        <w:rPr>
          <w:lang w:val="en-GB"/>
        </w:rPr>
        <w:t>8</w:t>
      </w:r>
      <w:r w:rsidR="00502E64">
        <w:rPr>
          <w:lang w:val="en-GB"/>
        </w:rPr>
        <w:t>%), other operating costs (1.2</w:t>
      </w:r>
      <w:r w:rsidR="00993D34">
        <w:rPr>
          <w:lang w:val="en-GB"/>
        </w:rPr>
        <w:t>%) and fina</w:t>
      </w:r>
      <w:r w:rsidR="00502E64">
        <w:rPr>
          <w:lang w:val="en-GB"/>
        </w:rPr>
        <w:t>ncial costs (0.1%). More than 24</w:t>
      </w:r>
      <w:r w:rsidR="00993D34">
        <w:rPr>
          <w:lang w:val="en-GB"/>
        </w:rPr>
        <w:t>% o</w:t>
      </w:r>
      <w:r w:rsidR="0094336F">
        <w:rPr>
          <w:lang w:val="en-GB"/>
        </w:rPr>
        <w:t xml:space="preserve">f the total costs </w:t>
      </w:r>
      <w:r w:rsidR="00FA1D15">
        <w:rPr>
          <w:lang w:val="en-GB"/>
        </w:rPr>
        <w:t xml:space="preserve">were incurred by </w:t>
      </w:r>
      <w:r w:rsidR="00BE0340">
        <w:rPr>
          <w:lang w:val="en-GB"/>
        </w:rPr>
        <w:t xml:space="preserve">cultural institutions from </w:t>
      </w:r>
      <w:proofErr w:type="spellStart"/>
      <w:r w:rsidR="00BE0340">
        <w:rPr>
          <w:lang w:val="en-GB"/>
        </w:rPr>
        <w:t>Mazowieckie</w:t>
      </w:r>
      <w:proofErr w:type="spellEnd"/>
      <w:r w:rsidR="00BE0340">
        <w:rPr>
          <w:lang w:val="en-GB"/>
        </w:rPr>
        <w:t xml:space="preserve"> Voivodship. </w:t>
      </w:r>
      <w:r w:rsidR="00FA1D15">
        <w:rPr>
          <w:lang w:val="en-GB"/>
        </w:rPr>
        <w:t>Entities conducting operation of arts facilities had th</w:t>
      </w:r>
      <w:r w:rsidR="00BE0340">
        <w:rPr>
          <w:lang w:val="en-GB"/>
        </w:rPr>
        <w:t xml:space="preserve">e largest share </w:t>
      </w:r>
      <w:r w:rsidR="00FA1D15">
        <w:rPr>
          <w:lang w:val="en-GB"/>
        </w:rPr>
        <w:t>in</w:t>
      </w:r>
      <w:r w:rsidR="00BE0340">
        <w:rPr>
          <w:lang w:val="en-GB"/>
        </w:rPr>
        <w:t xml:space="preserve"> total costs</w:t>
      </w:r>
      <w:r w:rsidR="00FA1D15">
        <w:rPr>
          <w:lang w:val="en-GB"/>
        </w:rPr>
        <w:t xml:space="preserve"> </w:t>
      </w:r>
      <w:r w:rsidR="009F4F33">
        <w:rPr>
          <w:lang w:val="en-GB"/>
        </w:rPr>
        <w:t xml:space="preserve">– </w:t>
      </w:r>
      <w:r w:rsidR="00E71BF2">
        <w:rPr>
          <w:lang w:val="en-GB"/>
        </w:rPr>
        <w:t>40</w:t>
      </w:r>
      <w:r w:rsidR="00502E64">
        <w:rPr>
          <w:lang w:val="en-GB"/>
        </w:rPr>
        <w:t>.7</w:t>
      </w:r>
      <w:r w:rsidR="00BE0340">
        <w:rPr>
          <w:lang w:val="en-GB"/>
        </w:rPr>
        <w:t>%.</w:t>
      </w:r>
    </w:p>
    <w:p w14:paraId="1BEF3391" w14:textId="1BCF65EF" w:rsidR="00E50FC5" w:rsidRPr="006E7A9A" w:rsidRDefault="006E7A9A" w:rsidP="006E7A9A">
      <w:pPr>
        <w:spacing w:line="288" w:lineRule="auto"/>
        <w:rPr>
          <w:lang w:val="en-GB"/>
        </w:rPr>
      </w:pPr>
      <w:r>
        <w:rPr>
          <w:lang w:val="en-GB"/>
        </w:rPr>
        <w:t>Gross financ</w:t>
      </w:r>
      <w:r w:rsidR="009F4F33">
        <w:rPr>
          <w:lang w:val="en-GB"/>
        </w:rPr>
        <w:t xml:space="preserve">ial result amounted to PLN </w:t>
      </w:r>
      <w:r w:rsidR="00502E64">
        <w:rPr>
          <w:lang w:val="en-GB"/>
        </w:rPr>
        <w:t>738.0</w:t>
      </w:r>
      <w:r w:rsidR="009F4F33">
        <w:rPr>
          <w:lang w:val="en-GB"/>
        </w:rPr>
        <w:t xml:space="preserve"> million (gross profit PLN </w:t>
      </w:r>
      <w:r w:rsidR="00502E64">
        <w:rPr>
          <w:lang w:val="en-GB"/>
        </w:rPr>
        <w:t>807.5 million, gross loss PLN 69.5</w:t>
      </w:r>
      <w:r>
        <w:rPr>
          <w:lang w:val="en-GB"/>
        </w:rPr>
        <w:t xml:space="preserve"> million). Net financ</w:t>
      </w:r>
      <w:r w:rsidR="009F4F33">
        <w:rPr>
          <w:lang w:val="en-GB"/>
        </w:rPr>
        <w:t xml:space="preserve">ial result amounted to PLN </w:t>
      </w:r>
      <w:r w:rsidR="00502E64">
        <w:rPr>
          <w:lang w:val="en-GB"/>
        </w:rPr>
        <w:t xml:space="preserve">736.5 </w:t>
      </w:r>
      <w:r w:rsidR="009F4F33">
        <w:rPr>
          <w:lang w:val="en-GB"/>
        </w:rPr>
        <w:t xml:space="preserve">million (PLN </w:t>
      </w:r>
      <w:r w:rsidR="00502E64">
        <w:rPr>
          <w:lang w:val="en-GB"/>
        </w:rPr>
        <w:t>643.5</w:t>
      </w:r>
      <w:r>
        <w:rPr>
          <w:lang w:val="en-GB"/>
        </w:rPr>
        <w:t xml:space="preserve"> million in the previous year), with an increase in net pr</w:t>
      </w:r>
      <w:r w:rsidR="001229F6">
        <w:rPr>
          <w:lang w:val="en-GB"/>
        </w:rPr>
        <w:t xml:space="preserve">ofit (by </w:t>
      </w:r>
      <w:r w:rsidR="00502E64">
        <w:rPr>
          <w:lang w:val="en-GB"/>
        </w:rPr>
        <w:t>13.9</w:t>
      </w:r>
      <w:r>
        <w:rPr>
          <w:lang w:val="en-GB"/>
        </w:rPr>
        <w:t>%) an</w:t>
      </w:r>
      <w:r w:rsidR="0004567B">
        <w:rPr>
          <w:lang w:val="en-GB"/>
        </w:rPr>
        <w:t>d an inc</w:t>
      </w:r>
      <w:r w:rsidR="001229F6">
        <w:rPr>
          <w:lang w:val="en-GB"/>
        </w:rPr>
        <w:t xml:space="preserve">rease in net loss (by </w:t>
      </w:r>
      <w:r w:rsidR="00502E64">
        <w:rPr>
          <w:lang w:val="en-GB"/>
        </w:rPr>
        <w:t>8.8</w:t>
      </w:r>
      <w:r>
        <w:rPr>
          <w:lang w:val="en-GB"/>
        </w:rPr>
        <w:t xml:space="preserve">%). </w:t>
      </w:r>
    </w:p>
    <w:p w14:paraId="283EE0C1" w14:textId="25A6E5D2" w:rsidR="00E50FC5" w:rsidRPr="006E7A9A" w:rsidRDefault="006E7A9A" w:rsidP="00E50FC5">
      <w:pPr>
        <w:pStyle w:val="Tytutablicy"/>
        <w:spacing w:before="240"/>
        <w:rPr>
          <w:lang w:val="en-GB"/>
        </w:rPr>
      </w:pPr>
      <w:r w:rsidRPr="006E7A9A">
        <w:rPr>
          <w:lang w:val="en-GB"/>
        </w:rPr>
        <w:lastRenderedPageBreak/>
        <w:t>Table 1. Financial results of cultural institutions</w:t>
      </w:r>
    </w:p>
    <w:tbl>
      <w:tblPr>
        <w:tblW w:w="7938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00" w:firstRow="0" w:lastRow="0" w:firstColumn="0" w:lastColumn="0" w:noHBand="0" w:noVBand="1"/>
        <w:tblCaption w:val="Table 1. presenting financial results of cultural institutions"/>
      </w:tblPr>
      <w:tblGrid>
        <w:gridCol w:w="3544"/>
        <w:gridCol w:w="1464"/>
        <w:gridCol w:w="1465"/>
        <w:gridCol w:w="1465"/>
      </w:tblGrid>
      <w:tr w:rsidR="00E50FC5" w:rsidRPr="00677735" w14:paraId="35A1351A" w14:textId="77777777" w:rsidTr="00AC1EFD">
        <w:trPr>
          <w:trHeight w:val="456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0F4116F8" w14:textId="24CDDF18" w:rsidR="00E50FC5" w:rsidRPr="006B0B8B" w:rsidRDefault="006B0B8B" w:rsidP="00AC1EFD">
            <w:pPr>
              <w:pStyle w:val="Tablicagwka"/>
              <w:rPr>
                <w:lang w:val="en-GB"/>
              </w:rPr>
            </w:pPr>
            <w:r w:rsidRPr="006B0B8B">
              <w:rPr>
                <w:lang w:val="en-GB"/>
              </w:rPr>
              <w:t>Specification</w:t>
            </w:r>
          </w:p>
        </w:tc>
        <w:tc>
          <w:tcPr>
            <w:tcW w:w="1464" w:type="dxa"/>
            <w:hideMark/>
          </w:tcPr>
          <w:p w14:paraId="4F1AED2D" w14:textId="39305FAA" w:rsidR="00E50FC5" w:rsidRPr="00677735" w:rsidRDefault="00E50FC5" w:rsidP="00AC1EFD">
            <w:pPr>
              <w:pStyle w:val="Tablicagwkarodek"/>
            </w:pPr>
            <w:r w:rsidRPr="00677735">
              <w:t>01–</w:t>
            </w:r>
            <w:r w:rsidR="00AB3602">
              <w:t>0</w:t>
            </w:r>
            <w:r w:rsidR="00EE129D">
              <w:t>9</w:t>
            </w:r>
            <w:r w:rsidRPr="00677735">
              <w:t xml:space="preserve"> 202</w:t>
            </w:r>
            <w:r w:rsidR="00971D1F">
              <w:t>3</w:t>
            </w:r>
          </w:p>
        </w:tc>
        <w:tc>
          <w:tcPr>
            <w:tcW w:w="1465" w:type="dxa"/>
            <w:hideMark/>
          </w:tcPr>
          <w:p w14:paraId="5709C351" w14:textId="1EFB2834" w:rsidR="00E50FC5" w:rsidRPr="00677735" w:rsidRDefault="00E50FC5" w:rsidP="00AC1EFD">
            <w:pPr>
              <w:pStyle w:val="Tablicagwkarodek"/>
              <w:rPr>
                <w:rFonts w:eastAsia="Fira Sans Light" w:cs="Times New Roman"/>
              </w:rPr>
            </w:pPr>
            <w:r w:rsidRPr="00677735">
              <w:t>01–</w:t>
            </w:r>
            <w:r w:rsidR="00AB3602">
              <w:t>0</w:t>
            </w:r>
            <w:r w:rsidR="00EE129D">
              <w:t>9</w:t>
            </w:r>
            <w:r w:rsidRPr="00677735">
              <w:t xml:space="preserve"> 20</w:t>
            </w:r>
            <w:r w:rsidR="00971D1F">
              <w:t>24</w:t>
            </w:r>
          </w:p>
        </w:tc>
        <w:tc>
          <w:tcPr>
            <w:tcW w:w="1465" w:type="dxa"/>
            <w:vMerge w:val="restart"/>
            <w:vAlign w:val="center"/>
          </w:tcPr>
          <w:p w14:paraId="2C96F0D0" w14:textId="6ECB2228" w:rsidR="00E50FC5" w:rsidRPr="00677735" w:rsidRDefault="00E50FC5" w:rsidP="00971D1F">
            <w:pPr>
              <w:pStyle w:val="Tablicagwkarodek"/>
              <w:rPr>
                <w:rFonts w:eastAsia="Fira Sans Light" w:cs="Times New Roman"/>
              </w:rPr>
            </w:pPr>
            <w:r w:rsidRPr="00677735">
              <w:t>01–</w:t>
            </w:r>
            <w:r w:rsidR="00AB3602">
              <w:t>0</w:t>
            </w:r>
            <w:r w:rsidR="00EE129D">
              <w:t>9</w:t>
            </w:r>
            <w:r w:rsidRPr="00677735">
              <w:t xml:space="preserve"> 202</w:t>
            </w:r>
            <w:r w:rsidR="00971D1F">
              <w:t>3</w:t>
            </w:r>
            <w:r w:rsidRPr="00677735">
              <w:t>=100</w:t>
            </w:r>
          </w:p>
        </w:tc>
      </w:tr>
      <w:tr w:rsidR="00E50FC5" w:rsidRPr="00677735" w14:paraId="3349FB50" w14:textId="77777777" w:rsidTr="00AC1EFD">
        <w:trPr>
          <w:trHeight w:val="456"/>
          <w:tblHeader/>
        </w:trPr>
        <w:tc>
          <w:tcPr>
            <w:tcW w:w="3544" w:type="dxa"/>
            <w:vMerge/>
            <w:vAlign w:val="center"/>
            <w:hideMark/>
          </w:tcPr>
          <w:p w14:paraId="047F029C" w14:textId="77777777" w:rsidR="00E50FC5" w:rsidRPr="006B0B8B" w:rsidRDefault="00E50FC5" w:rsidP="00AC1EFD">
            <w:pPr>
              <w:spacing w:before="0" w:after="0" w:line="256" w:lineRule="auto"/>
              <w:rPr>
                <w:rFonts w:eastAsia="Times New Roman" w:cs="Calibri"/>
                <w:szCs w:val="19"/>
                <w:lang w:val="en-GB" w:eastAsia="pl-PL"/>
              </w:rPr>
            </w:pPr>
          </w:p>
        </w:tc>
        <w:tc>
          <w:tcPr>
            <w:tcW w:w="2929" w:type="dxa"/>
            <w:gridSpan w:val="2"/>
            <w:hideMark/>
          </w:tcPr>
          <w:p w14:paraId="1793DE2F" w14:textId="7421FDB4" w:rsidR="00E50FC5" w:rsidRPr="00F36501" w:rsidRDefault="006B0B8B" w:rsidP="00AC1EFD">
            <w:pPr>
              <w:pStyle w:val="Tablicagwkarodek"/>
              <w:rPr>
                <w:rFonts w:eastAsia="Fira Sans Light" w:cs="Times New Roman"/>
                <w:lang w:val="en-GB"/>
              </w:rPr>
            </w:pPr>
            <w:r w:rsidRPr="00F36501">
              <w:rPr>
                <w:rFonts w:eastAsia="Fira Sans Light" w:cs="Times New Roman"/>
                <w:lang w:val="en-GB"/>
              </w:rPr>
              <w:t>in PLN</w:t>
            </w:r>
            <w:r w:rsidR="007F6C7B" w:rsidRPr="00F36501">
              <w:rPr>
                <w:rFonts w:eastAsia="Fira Sans Light" w:cs="Times New Roman"/>
                <w:lang w:val="en-GB"/>
              </w:rPr>
              <w:t xml:space="preserve"> million</w:t>
            </w:r>
          </w:p>
        </w:tc>
        <w:tc>
          <w:tcPr>
            <w:tcW w:w="1465" w:type="dxa"/>
            <w:vMerge/>
            <w:hideMark/>
          </w:tcPr>
          <w:p w14:paraId="1EBF7DCE" w14:textId="77777777" w:rsidR="00E50FC5" w:rsidRPr="00677735" w:rsidRDefault="00E50FC5" w:rsidP="00AC1EFD">
            <w:pPr>
              <w:pStyle w:val="Tablicagwkarodek"/>
              <w:rPr>
                <w:rFonts w:eastAsia="Fira Sans Light" w:cs="Times New Roman"/>
              </w:rPr>
            </w:pPr>
          </w:p>
        </w:tc>
      </w:tr>
      <w:tr w:rsidR="00971D1F" w:rsidRPr="00677735" w14:paraId="4DC85E11" w14:textId="77777777" w:rsidTr="00AC1EFD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383AFDBC" w14:textId="50930E59" w:rsidR="00971D1F" w:rsidRPr="006B0B8B" w:rsidRDefault="00971D1F" w:rsidP="00971D1F">
            <w:pPr>
              <w:pStyle w:val="Tablicaboczek"/>
              <w:rPr>
                <w:lang w:val="en-GB"/>
              </w:rPr>
            </w:pPr>
            <w:r w:rsidRPr="006B0B8B">
              <w:rPr>
                <w:rFonts w:cs="Fira Sans"/>
                <w:spacing w:val="-1"/>
                <w:lang w:val="en-GB"/>
              </w:rPr>
              <w:t>Total revenues</w:t>
            </w:r>
          </w:p>
        </w:tc>
        <w:tc>
          <w:tcPr>
            <w:tcW w:w="1464" w:type="dxa"/>
            <w:vAlign w:val="center"/>
          </w:tcPr>
          <w:p w14:paraId="4A24EEB0" w14:textId="1B5822F8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10,494.3</w:t>
            </w:r>
          </w:p>
        </w:tc>
        <w:tc>
          <w:tcPr>
            <w:tcW w:w="1465" w:type="dxa"/>
            <w:vAlign w:val="center"/>
          </w:tcPr>
          <w:p w14:paraId="05E5A42B" w14:textId="5C2A4BD1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12,020.9</w:t>
            </w:r>
          </w:p>
        </w:tc>
        <w:tc>
          <w:tcPr>
            <w:tcW w:w="1465" w:type="dxa"/>
            <w:noWrap/>
            <w:vAlign w:val="center"/>
          </w:tcPr>
          <w:p w14:paraId="55D7AB02" w14:textId="3A904589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114.5</w:t>
            </w:r>
          </w:p>
        </w:tc>
      </w:tr>
      <w:tr w:rsidR="00971D1F" w:rsidRPr="00677735" w14:paraId="07084EA7" w14:textId="77777777" w:rsidTr="00AC1EFD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1ACD9310" w14:textId="5E03D365" w:rsidR="00971D1F" w:rsidRPr="006B0B8B" w:rsidRDefault="00971D1F" w:rsidP="00971D1F">
            <w:pPr>
              <w:pStyle w:val="Tablicaboczek"/>
              <w:rPr>
                <w:lang w:val="en-GB"/>
              </w:rPr>
            </w:pPr>
            <w:r w:rsidRPr="006B0B8B">
              <w:rPr>
                <w:rFonts w:cs="Fira Sans"/>
                <w:spacing w:val="-1"/>
                <w:lang w:val="en-GB"/>
              </w:rPr>
              <w:t>Total costs</w:t>
            </w:r>
          </w:p>
        </w:tc>
        <w:tc>
          <w:tcPr>
            <w:tcW w:w="1464" w:type="dxa"/>
            <w:vAlign w:val="center"/>
            <w:hideMark/>
          </w:tcPr>
          <w:p w14:paraId="5B8F7AF8" w14:textId="43293C79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9,849.4</w:t>
            </w:r>
          </w:p>
        </w:tc>
        <w:tc>
          <w:tcPr>
            <w:tcW w:w="1465" w:type="dxa"/>
            <w:vAlign w:val="center"/>
            <w:hideMark/>
          </w:tcPr>
          <w:p w14:paraId="2A6D51BD" w14:textId="0715D92E" w:rsidR="00971D1F" w:rsidRPr="00677735" w:rsidRDefault="00971D1F" w:rsidP="00971D1F">
            <w:pPr>
              <w:pStyle w:val="Tablicadanerodek"/>
              <w:rPr>
                <w:highlight w:val="yellow"/>
              </w:rPr>
            </w:pPr>
            <w:r>
              <w:rPr>
                <w:lang w:eastAsia="en-US"/>
              </w:rPr>
              <w:t>11,282.9</w:t>
            </w:r>
          </w:p>
        </w:tc>
        <w:tc>
          <w:tcPr>
            <w:tcW w:w="1465" w:type="dxa"/>
            <w:noWrap/>
            <w:vAlign w:val="center"/>
            <w:hideMark/>
          </w:tcPr>
          <w:p w14:paraId="3EE58ABD" w14:textId="3461CBCE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114.6</w:t>
            </w:r>
          </w:p>
        </w:tc>
      </w:tr>
      <w:tr w:rsidR="00971D1F" w:rsidRPr="00677735" w14:paraId="6584E70F" w14:textId="77777777" w:rsidTr="00AC1EFD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64BE15E9" w14:textId="1289F905" w:rsidR="00971D1F" w:rsidRPr="006B0B8B" w:rsidRDefault="00971D1F" w:rsidP="00971D1F">
            <w:pPr>
              <w:pStyle w:val="Tablicaboczek"/>
              <w:rPr>
                <w:lang w:val="en-GB"/>
              </w:rPr>
            </w:pPr>
            <w:r w:rsidRPr="006B0B8B">
              <w:rPr>
                <w:rFonts w:cs="Fira Sans"/>
                <w:spacing w:val="-1"/>
                <w:lang w:val="en-GB"/>
              </w:rPr>
              <w:t>Gross financial result</w:t>
            </w:r>
          </w:p>
        </w:tc>
        <w:tc>
          <w:tcPr>
            <w:tcW w:w="1464" w:type="dxa"/>
            <w:vAlign w:val="center"/>
            <w:hideMark/>
          </w:tcPr>
          <w:p w14:paraId="6B5B8327" w14:textId="53F50EA6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644.8</w:t>
            </w:r>
          </w:p>
        </w:tc>
        <w:tc>
          <w:tcPr>
            <w:tcW w:w="1465" w:type="dxa"/>
            <w:vAlign w:val="center"/>
            <w:hideMark/>
          </w:tcPr>
          <w:p w14:paraId="30C36482" w14:textId="22BB113C" w:rsidR="00971D1F" w:rsidRPr="00677735" w:rsidRDefault="00971D1F" w:rsidP="00971D1F">
            <w:pPr>
              <w:pStyle w:val="Tablicadanerodek"/>
              <w:rPr>
                <w:highlight w:val="yellow"/>
              </w:rPr>
            </w:pPr>
            <w:r>
              <w:rPr>
                <w:lang w:eastAsia="en-US"/>
              </w:rPr>
              <w:t>738.0</w:t>
            </w:r>
          </w:p>
        </w:tc>
        <w:tc>
          <w:tcPr>
            <w:tcW w:w="1465" w:type="dxa"/>
            <w:noWrap/>
            <w:vAlign w:val="center"/>
            <w:hideMark/>
          </w:tcPr>
          <w:p w14:paraId="52F39416" w14:textId="06C4B86A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114.5</w:t>
            </w:r>
          </w:p>
        </w:tc>
      </w:tr>
      <w:tr w:rsidR="00971D1F" w:rsidRPr="00677735" w14:paraId="021F2FA9" w14:textId="77777777" w:rsidTr="00AC1EFD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36A106D6" w14:textId="7E91743D" w:rsidR="00971D1F" w:rsidRPr="006B0B8B" w:rsidRDefault="00971D1F" w:rsidP="00971D1F">
            <w:pPr>
              <w:pStyle w:val="Tablicaboczekwcicie1"/>
              <w:ind w:firstLine="0"/>
              <w:rPr>
                <w:rFonts w:eastAsia="Times New Roman" w:cs="Calibri"/>
                <w:lang w:val="en-GB" w:eastAsia="pl-PL"/>
              </w:rPr>
            </w:pPr>
            <w:r w:rsidRPr="006B0B8B">
              <w:rPr>
                <w:rFonts w:cs="Fira Sans"/>
                <w:spacing w:val="-1"/>
                <w:lang w:val="en-GB"/>
              </w:rPr>
              <w:t>Net financial result</w:t>
            </w:r>
          </w:p>
        </w:tc>
        <w:tc>
          <w:tcPr>
            <w:tcW w:w="1464" w:type="dxa"/>
            <w:vAlign w:val="center"/>
          </w:tcPr>
          <w:p w14:paraId="5A901828" w14:textId="3E9C081A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643.5</w:t>
            </w:r>
          </w:p>
        </w:tc>
        <w:tc>
          <w:tcPr>
            <w:tcW w:w="1465" w:type="dxa"/>
            <w:vAlign w:val="center"/>
          </w:tcPr>
          <w:p w14:paraId="64FB9D42" w14:textId="32F0AB4C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736.5</w:t>
            </w:r>
          </w:p>
        </w:tc>
        <w:tc>
          <w:tcPr>
            <w:tcW w:w="1465" w:type="dxa"/>
            <w:noWrap/>
            <w:vAlign w:val="center"/>
          </w:tcPr>
          <w:p w14:paraId="23CCC7F1" w14:textId="54ED1DF0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114.5</w:t>
            </w:r>
          </w:p>
        </w:tc>
      </w:tr>
      <w:tr w:rsidR="00971D1F" w:rsidRPr="00677735" w14:paraId="4EFCC4AC" w14:textId="77777777" w:rsidTr="00AC1EFD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01742856" w14:textId="7473E121" w:rsidR="00971D1F" w:rsidRPr="006B0B8B" w:rsidRDefault="00971D1F" w:rsidP="00971D1F">
            <w:pPr>
              <w:pStyle w:val="Tablicaboczekwcicie2"/>
              <w:ind w:left="0"/>
              <w:rPr>
                <w:rFonts w:eastAsia="Times New Roman" w:cs="Calibri"/>
                <w:lang w:val="en-GB" w:eastAsia="pl-PL"/>
              </w:rPr>
            </w:pPr>
            <w:r w:rsidRPr="006B0B8B">
              <w:rPr>
                <w:rFonts w:cs="Fira Sans"/>
                <w:spacing w:val="-1"/>
                <w:lang w:val="en-GB"/>
              </w:rPr>
              <w:t>Net profit</w:t>
            </w:r>
          </w:p>
        </w:tc>
        <w:tc>
          <w:tcPr>
            <w:tcW w:w="1464" w:type="dxa"/>
            <w:vAlign w:val="center"/>
          </w:tcPr>
          <w:p w14:paraId="603C18B9" w14:textId="3AFB62D2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707.5</w:t>
            </w:r>
          </w:p>
        </w:tc>
        <w:tc>
          <w:tcPr>
            <w:tcW w:w="1465" w:type="dxa"/>
            <w:vAlign w:val="center"/>
          </w:tcPr>
          <w:p w14:paraId="7C8D6BDB" w14:textId="5AC4B9E5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806.1</w:t>
            </w:r>
          </w:p>
        </w:tc>
        <w:tc>
          <w:tcPr>
            <w:tcW w:w="1465" w:type="dxa"/>
            <w:noWrap/>
            <w:vAlign w:val="center"/>
          </w:tcPr>
          <w:p w14:paraId="586FAAEA" w14:textId="3EB40CAE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113.9</w:t>
            </w:r>
          </w:p>
        </w:tc>
      </w:tr>
      <w:tr w:rsidR="00971D1F" w:rsidRPr="00677735" w14:paraId="0FBC7227" w14:textId="77777777" w:rsidTr="00AC1EFD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5211E961" w14:textId="0756260E" w:rsidR="00971D1F" w:rsidRPr="006B0B8B" w:rsidRDefault="00971D1F" w:rsidP="00971D1F">
            <w:pPr>
              <w:pStyle w:val="Tablicaboczekwcicie2"/>
              <w:ind w:left="0"/>
              <w:rPr>
                <w:lang w:val="en-GB"/>
              </w:rPr>
            </w:pPr>
            <w:r w:rsidRPr="006B0B8B">
              <w:rPr>
                <w:rFonts w:cs="Fira Sans"/>
                <w:spacing w:val="-1"/>
                <w:lang w:val="en-GB"/>
              </w:rPr>
              <w:t>Net loss</w:t>
            </w:r>
          </w:p>
        </w:tc>
        <w:tc>
          <w:tcPr>
            <w:tcW w:w="1464" w:type="dxa"/>
            <w:vAlign w:val="center"/>
          </w:tcPr>
          <w:p w14:paraId="1433017D" w14:textId="2C3F43FB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64.0</w:t>
            </w:r>
          </w:p>
        </w:tc>
        <w:tc>
          <w:tcPr>
            <w:tcW w:w="1465" w:type="dxa"/>
            <w:vAlign w:val="center"/>
          </w:tcPr>
          <w:p w14:paraId="03CCC452" w14:textId="5F94DF91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69.7</w:t>
            </w:r>
          </w:p>
        </w:tc>
        <w:tc>
          <w:tcPr>
            <w:tcW w:w="1465" w:type="dxa"/>
            <w:noWrap/>
            <w:vAlign w:val="center"/>
          </w:tcPr>
          <w:p w14:paraId="61944232" w14:textId="14799689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108.8</w:t>
            </w:r>
          </w:p>
        </w:tc>
      </w:tr>
      <w:tr w:rsidR="00971D1F" w:rsidRPr="00677735" w14:paraId="0BF8BACC" w14:textId="77777777" w:rsidTr="00AC1EFD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4B73EA8E" w14:textId="04029E18" w:rsidR="00971D1F" w:rsidRPr="006B0B8B" w:rsidRDefault="00971D1F" w:rsidP="00971D1F">
            <w:pPr>
              <w:pStyle w:val="Tablicaboczek"/>
              <w:rPr>
                <w:lang w:val="en-GB"/>
              </w:rPr>
            </w:pPr>
            <w:r w:rsidRPr="006B0B8B">
              <w:rPr>
                <w:rFonts w:cs="Fira Sans"/>
                <w:spacing w:val="-1"/>
                <w:lang w:val="en-GB"/>
              </w:rPr>
              <w:t>Investment outlays</w:t>
            </w:r>
          </w:p>
        </w:tc>
        <w:tc>
          <w:tcPr>
            <w:tcW w:w="1464" w:type="dxa"/>
            <w:vAlign w:val="center"/>
            <w:hideMark/>
          </w:tcPr>
          <w:p w14:paraId="38FA1FC1" w14:textId="50069260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1,189.5</w:t>
            </w:r>
          </w:p>
        </w:tc>
        <w:tc>
          <w:tcPr>
            <w:tcW w:w="1465" w:type="dxa"/>
            <w:vAlign w:val="center"/>
            <w:hideMark/>
          </w:tcPr>
          <w:p w14:paraId="6EA1049B" w14:textId="62F22392" w:rsidR="00971D1F" w:rsidRPr="00677735" w:rsidRDefault="00971D1F" w:rsidP="00971D1F">
            <w:pPr>
              <w:pStyle w:val="Tablicadanerodek"/>
              <w:rPr>
                <w:highlight w:val="yellow"/>
              </w:rPr>
            </w:pPr>
            <w:r>
              <w:rPr>
                <w:lang w:eastAsia="en-US"/>
              </w:rPr>
              <w:t>1,126.2</w:t>
            </w:r>
          </w:p>
        </w:tc>
        <w:tc>
          <w:tcPr>
            <w:tcW w:w="1465" w:type="dxa"/>
            <w:noWrap/>
            <w:vAlign w:val="center"/>
            <w:hideMark/>
          </w:tcPr>
          <w:p w14:paraId="323A91D1" w14:textId="13F488D3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94.7</w:t>
            </w:r>
          </w:p>
        </w:tc>
      </w:tr>
      <w:tr w:rsidR="00971D1F" w:rsidRPr="00677735" w14:paraId="2B5C07E2" w14:textId="77777777" w:rsidTr="00AC1EFD">
        <w:trPr>
          <w:trHeight w:val="476"/>
          <w:tblHeader/>
        </w:trPr>
        <w:tc>
          <w:tcPr>
            <w:tcW w:w="3544" w:type="dxa"/>
            <w:noWrap/>
            <w:vAlign w:val="bottom"/>
          </w:tcPr>
          <w:p w14:paraId="6022DC9B" w14:textId="0349BACA" w:rsidR="00971D1F" w:rsidRPr="006B0B8B" w:rsidRDefault="00971D1F" w:rsidP="00971D1F">
            <w:pPr>
              <w:pStyle w:val="Tablicaboczek"/>
              <w:ind w:left="176" w:hanging="176"/>
              <w:rPr>
                <w:rFonts w:cs="Fira Sans"/>
                <w:spacing w:val="-1"/>
                <w:lang w:val="en-GB"/>
              </w:rPr>
            </w:pPr>
            <w:r w:rsidRPr="006B0B8B">
              <w:rPr>
                <w:rFonts w:cs="Fira Sans"/>
                <w:spacing w:val="-1"/>
                <w:lang w:val="en-GB"/>
              </w:rPr>
              <w:t>Outlays on inta</w:t>
            </w:r>
            <w:r>
              <w:rPr>
                <w:rFonts w:cs="Fira Sans"/>
                <w:spacing w:val="-1"/>
                <w:lang w:val="en-GB"/>
              </w:rPr>
              <w:t>n</w:t>
            </w:r>
            <w:r w:rsidRPr="006B0B8B">
              <w:rPr>
                <w:rFonts w:cs="Fira Sans"/>
                <w:spacing w:val="-1"/>
                <w:lang w:val="en-GB"/>
              </w:rPr>
              <w:t>gible fixed assets</w:t>
            </w:r>
          </w:p>
        </w:tc>
        <w:tc>
          <w:tcPr>
            <w:tcW w:w="1464" w:type="dxa"/>
            <w:vAlign w:val="bottom"/>
          </w:tcPr>
          <w:p w14:paraId="3475FE80" w14:textId="3F352C27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30.7</w:t>
            </w:r>
          </w:p>
        </w:tc>
        <w:tc>
          <w:tcPr>
            <w:tcW w:w="1465" w:type="dxa"/>
            <w:vAlign w:val="bottom"/>
          </w:tcPr>
          <w:p w14:paraId="2DB14653" w14:textId="1DD677A6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15.4</w:t>
            </w:r>
          </w:p>
        </w:tc>
        <w:tc>
          <w:tcPr>
            <w:tcW w:w="1465" w:type="dxa"/>
            <w:noWrap/>
            <w:vAlign w:val="bottom"/>
          </w:tcPr>
          <w:p w14:paraId="04E39F1E" w14:textId="3D7B8A98" w:rsidR="00971D1F" w:rsidRPr="00677735" w:rsidRDefault="00971D1F" w:rsidP="00971D1F">
            <w:pPr>
              <w:pStyle w:val="Tablicadanerodek"/>
            </w:pPr>
            <w:r>
              <w:rPr>
                <w:lang w:eastAsia="en-US"/>
              </w:rPr>
              <w:t>50.0</w:t>
            </w:r>
          </w:p>
        </w:tc>
      </w:tr>
    </w:tbl>
    <w:p w14:paraId="22559685" w14:textId="0DA87410" w:rsidR="00EA2F77" w:rsidRPr="00337EB0" w:rsidRDefault="00E21E00" w:rsidP="004F0653">
      <w:pPr>
        <w:spacing w:before="360" w:line="288" w:lineRule="auto"/>
        <w:ind w:right="-11"/>
        <w:rPr>
          <w:rFonts w:eastAsia="Times New Roman" w:cs="Fira Sans"/>
          <w:spacing w:val="-1"/>
          <w:szCs w:val="19"/>
          <w:lang w:val="en-GB" w:eastAsia="pl-PL"/>
        </w:rPr>
      </w:pPr>
      <w:r w:rsidRPr="00E21E00">
        <w:rPr>
          <w:rFonts w:eastAsia="Times New Roman" w:cs="Fira Sans"/>
          <w:spacing w:val="-1"/>
          <w:szCs w:val="19"/>
          <w:lang w:val="en-GB" w:eastAsia="pl-PL"/>
        </w:rPr>
        <w:t xml:space="preserve">In </w:t>
      </w:r>
      <w:r w:rsidR="0004567B">
        <w:rPr>
          <w:rFonts w:eastAsia="Times New Roman" w:cs="Fira Sans"/>
          <w:spacing w:val="-1"/>
          <w:szCs w:val="19"/>
          <w:lang w:val="en-GB" w:eastAsia="pl-PL"/>
        </w:rPr>
        <w:t>the first three quarters of 2024</w:t>
      </w:r>
      <w:r w:rsidRPr="00E21E00">
        <w:rPr>
          <w:rFonts w:eastAsia="Times New Roman" w:cs="Fira Sans"/>
          <w:spacing w:val="-1"/>
          <w:szCs w:val="19"/>
          <w:lang w:val="en-GB" w:eastAsia="pl-PL"/>
        </w:rPr>
        <w:t xml:space="preserve">, </w:t>
      </w:r>
      <w:r>
        <w:rPr>
          <w:rFonts w:eastAsia="Times New Roman" w:cs="Fira Sans"/>
          <w:spacing w:val="-1"/>
          <w:szCs w:val="19"/>
          <w:lang w:val="en-GB" w:eastAsia="pl-PL"/>
        </w:rPr>
        <w:t>investment outlays</w:t>
      </w:r>
      <w:r w:rsidRPr="00E21E00">
        <w:rPr>
          <w:rFonts w:eastAsia="Times New Roman" w:cs="Fira Sans"/>
          <w:spacing w:val="-1"/>
          <w:szCs w:val="19"/>
          <w:lang w:val="en-GB" w:eastAsia="pl-PL"/>
        </w:rPr>
        <w:t xml:space="preserve"> by cultural institutions </w:t>
      </w:r>
      <w:r w:rsidR="0004567B">
        <w:rPr>
          <w:rFonts w:eastAsia="Times New Roman" w:cs="Fira Sans"/>
          <w:spacing w:val="-1"/>
          <w:szCs w:val="19"/>
          <w:lang w:val="en-GB" w:eastAsia="pl-PL"/>
        </w:rPr>
        <w:t>amounted to PLN 1,126.2</w:t>
      </w:r>
      <w:r w:rsidR="0004567B" w:rsidRPr="00E21E00">
        <w:rPr>
          <w:rFonts w:eastAsia="Times New Roman" w:cs="Fira Sans"/>
          <w:spacing w:val="-1"/>
          <w:szCs w:val="19"/>
          <w:lang w:val="en-GB" w:eastAsia="pl-PL"/>
        </w:rPr>
        <w:t xml:space="preserve"> million </w:t>
      </w:r>
      <w:r w:rsidR="0004567B">
        <w:rPr>
          <w:rFonts w:eastAsia="Times New Roman" w:cs="Fira Sans"/>
          <w:spacing w:val="-1"/>
          <w:szCs w:val="19"/>
          <w:lang w:val="en-GB" w:eastAsia="pl-PL"/>
        </w:rPr>
        <w:t>and were 5.3% lower</w:t>
      </w:r>
      <w:r w:rsidRPr="00E21E00">
        <w:rPr>
          <w:rFonts w:eastAsia="Times New Roman" w:cs="Fira Sans"/>
          <w:spacing w:val="-1"/>
          <w:szCs w:val="19"/>
          <w:lang w:val="en-GB" w:eastAsia="pl-PL"/>
        </w:rPr>
        <w:t xml:space="preserve"> than a year earlier</w:t>
      </w:r>
      <w:r w:rsidR="00982F0D">
        <w:rPr>
          <w:rFonts w:eastAsia="Times New Roman" w:cs="Fira Sans"/>
          <w:spacing w:val="-1"/>
          <w:szCs w:val="19"/>
          <w:lang w:val="en-GB" w:eastAsia="pl-PL"/>
        </w:rPr>
        <w:t xml:space="preserve">. </w:t>
      </w:r>
      <w:r w:rsidR="0004567B">
        <w:rPr>
          <w:rFonts w:eastAsia="Times New Roman" w:cs="Fira Sans"/>
          <w:spacing w:val="-1"/>
          <w:szCs w:val="19"/>
          <w:lang w:val="en-GB" w:eastAsia="pl-PL"/>
        </w:rPr>
        <w:t>Over 48</w:t>
      </w:r>
      <w:r w:rsidR="00EA2F77">
        <w:rPr>
          <w:rFonts w:eastAsia="Times New Roman" w:cs="Fira Sans"/>
          <w:spacing w:val="-1"/>
          <w:szCs w:val="19"/>
          <w:lang w:val="en-GB" w:eastAsia="pl-PL"/>
        </w:rPr>
        <w:t xml:space="preserve">% of total investment outlays </w:t>
      </w:r>
      <w:r w:rsidR="004F0653">
        <w:rPr>
          <w:rFonts w:eastAsia="Times New Roman" w:cs="Fira Sans"/>
          <w:spacing w:val="-1"/>
          <w:szCs w:val="19"/>
          <w:lang w:val="en-GB" w:eastAsia="pl-PL"/>
        </w:rPr>
        <w:t xml:space="preserve">were </w:t>
      </w:r>
      <w:r w:rsidR="00190BB7">
        <w:rPr>
          <w:rFonts w:eastAsia="Times New Roman" w:cs="Fira Sans"/>
          <w:spacing w:val="-1"/>
          <w:szCs w:val="19"/>
          <w:lang w:val="en-GB" w:eastAsia="pl-PL"/>
        </w:rPr>
        <w:t xml:space="preserve">total </w:t>
      </w:r>
      <w:r w:rsidR="00EA2F77">
        <w:rPr>
          <w:rFonts w:eastAsia="Times New Roman" w:cs="Fira Sans"/>
          <w:spacing w:val="-1"/>
          <w:szCs w:val="19"/>
          <w:lang w:val="en-GB" w:eastAsia="pl-PL"/>
        </w:rPr>
        <w:t xml:space="preserve">investment outlays of cultural institutions from </w:t>
      </w:r>
      <w:proofErr w:type="spellStart"/>
      <w:r w:rsidR="00EA2F77">
        <w:rPr>
          <w:rFonts w:eastAsia="Times New Roman" w:cs="Fira Sans"/>
          <w:spacing w:val="-1"/>
          <w:szCs w:val="19"/>
          <w:lang w:val="en-GB" w:eastAsia="pl-PL"/>
        </w:rPr>
        <w:t>Mazowieckie</w:t>
      </w:r>
      <w:proofErr w:type="spellEnd"/>
      <w:r w:rsidR="00EA2F77">
        <w:rPr>
          <w:rFonts w:eastAsia="Times New Roman" w:cs="Fira Sans"/>
          <w:spacing w:val="-1"/>
          <w:szCs w:val="19"/>
          <w:lang w:val="en-GB" w:eastAsia="pl-PL"/>
        </w:rPr>
        <w:t xml:space="preserve"> Voivodship.</w:t>
      </w:r>
    </w:p>
    <w:p w14:paraId="3C88E5F7" w14:textId="3AC05974" w:rsidR="00EA2F77" w:rsidRPr="00EA2F77" w:rsidRDefault="004F0653" w:rsidP="00EA2F77">
      <w:pPr>
        <w:spacing w:line="288" w:lineRule="auto"/>
        <w:ind w:right="-11"/>
        <w:rPr>
          <w:rFonts w:eastAsia="Times New Roman" w:cs="Fira Sans"/>
          <w:spacing w:val="-1"/>
          <w:szCs w:val="19"/>
          <w:lang w:val="en-GB" w:eastAsia="pl-PL"/>
        </w:rPr>
      </w:pPr>
      <w:r>
        <w:rPr>
          <w:rFonts w:eastAsia="Times New Roman" w:cs="Fira Sans"/>
          <w:spacing w:val="-1"/>
          <w:szCs w:val="19"/>
          <w:lang w:val="en-GB" w:eastAsia="pl-PL"/>
        </w:rPr>
        <w:t>Investment outlays incurred by local government cultural in</w:t>
      </w:r>
      <w:r w:rsidR="00982F0D">
        <w:rPr>
          <w:rFonts w:eastAsia="Times New Roman" w:cs="Fira Sans"/>
          <w:spacing w:val="-1"/>
          <w:szCs w:val="19"/>
          <w:lang w:val="en-GB" w:eastAsia="pl-PL"/>
        </w:rPr>
        <w:t xml:space="preserve">stitutions amounted to PLN </w:t>
      </w:r>
      <w:r w:rsidR="0004567B">
        <w:rPr>
          <w:rFonts w:eastAsia="Times New Roman" w:cs="Fira Sans"/>
          <w:spacing w:val="-1"/>
          <w:szCs w:val="19"/>
          <w:lang w:val="en-GB" w:eastAsia="pl-PL"/>
        </w:rPr>
        <w:t>642.7</w:t>
      </w:r>
      <w:r w:rsidR="00982F0D">
        <w:rPr>
          <w:rFonts w:eastAsia="Times New Roman" w:cs="Fira Sans"/>
          <w:spacing w:val="-1"/>
          <w:szCs w:val="19"/>
          <w:lang w:val="en-GB" w:eastAsia="pl-PL"/>
        </w:rPr>
        <w:t xml:space="preserve"> million, i.e. 5</w:t>
      </w:r>
      <w:r w:rsidR="0004567B">
        <w:rPr>
          <w:rFonts w:eastAsia="Times New Roman" w:cs="Fira Sans"/>
          <w:spacing w:val="-1"/>
          <w:szCs w:val="19"/>
          <w:lang w:val="en-GB" w:eastAsia="pl-PL"/>
        </w:rPr>
        <w:t>7.1</w:t>
      </w:r>
      <w:r>
        <w:rPr>
          <w:rFonts w:eastAsia="Times New Roman" w:cs="Fira Sans"/>
          <w:spacing w:val="-1"/>
          <w:szCs w:val="19"/>
          <w:lang w:val="en-GB" w:eastAsia="pl-PL"/>
        </w:rPr>
        <w:t>% of the total amount of investment outlays.</w:t>
      </w:r>
    </w:p>
    <w:p w14:paraId="736D688E" w14:textId="2E9E19EC" w:rsidR="00E50FC5" w:rsidRDefault="00E17A92" w:rsidP="00170590">
      <w:pPr>
        <w:pStyle w:val="Tytuwykresu0"/>
        <w:spacing w:after="0"/>
        <w:ind w:left="680" w:hanging="680"/>
        <w:rPr>
          <w:rFonts w:ascii="Fira Sans" w:hAnsi="Fira Sans"/>
          <w:lang w:val="en-GB"/>
        </w:rPr>
      </w:pPr>
      <w:r>
        <w:rPr>
          <w:rFonts w:ascii="Fira Sans" w:hAnsi="Fira Sans"/>
          <w:lang w:val="en-GB"/>
        </w:rPr>
        <w:t>Chart 1. I</w:t>
      </w:r>
      <w:r w:rsidR="006B0B8B" w:rsidRPr="006B0B8B">
        <w:rPr>
          <w:rFonts w:ascii="Fira Sans" w:hAnsi="Fira Sans"/>
          <w:lang w:val="en-GB"/>
        </w:rPr>
        <w:t xml:space="preserve">nvestment outlays of cultural institutions by legal forms </w:t>
      </w:r>
      <w:r w:rsidR="00CC22C6">
        <w:rPr>
          <w:rFonts w:ascii="Fira Sans" w:hAnsi="Fira Sans"/>
          <w:lang w:val="en-GB"/>
        </w:rPr>
        <w:t>for</w:t>
      </w:r>
      <w:r w:rsidR="006B0B8B" w:rsidRPr="006B0B8B">
        <w:rPr>
          <w:rFonts w:ascii="Fira Sans" w:hAnsi="Fira Sans"/>
          <w:lang w:val="en-GB"/>
        </w:rPr>
        <w:t xml:space="preserve"> the first </w:t>
      </w:r>
      <w:r w:rsidR="00413661">
        <w:rPr>
          <w:rFonts w:ascii="Fira Sans" w:hAnsi="Fira Sans"/>
          <w:lang w:val="en-GB"/>
        </w:rPr>
        <w:t>three quart</w:t>
      </w:r>
      <w:r w:rsidR="007B44DE">
        <w:rPr>
          <w:rFonts w:ascii="Fira Sans" w:hAnsi="Fira Sans"/>
          <w:lang w:val="en-GB"/>
        </w:rPr>
        <w:t>e</w:t>
      </w:r>
      <w:r w:rsidR="00413661">
        <w:rPr>
          <w:rFonts w:ascii="Fira Sans" w:hAnsi="Fira Sans"/>
          <w:lang w:val="en-GB"/>
        </w:rPr>
        <w:t>rs</w:t>
      </w:r>
      <w:r w:rsidR="007D6808">
        <w:rPr>
          <w:rFonts w:ascii="Fira Sans" w:hAnsi="Fira Sans"/>
          <w:lang w:val="en-GB"/>
        </w:rPr>
        <w:t xml:space="preserve"> of 2024</w:t>
      </w:r>
    </w:p>
    <w:p w14:paraId="373A7C45" w14:textId="5169FA6D" w:rsidR="004B3859" w:rsidRDefault="00FC32BA" w:rsidP="00911A53">
      <w:pPr>
        <w:pStyle w:val="Tytuwykresu0"/>
        <w:spacing w:before="120" w:after="0"/>
        <w:rPr>
          <w:rFonts w:ascii="Fira Sans" w:hAnsi="Fira Sans"/>
          <w:lang w:val="en-GB"/>
        </w:rPr>
      </w:pPr>
      <w:r>
        <w:rPr>
          <w:rFonts w:ascii="Fira Sans" w:hAnsi="Fira Sans"/>
        </w:rPr>
        <w:drawing>
          <wp:inline distT="0" distB="0" distL="0" distR="0" wp14:anchorId="0A8B4CB2" wp14:editId="6D293B3A">
            <wp:extent cx="4956175" cy="2524125"/>
            <wp:effectExtent l="0" t="0" r="0" b="0"/>
            <wp:docPr id="13" name="Obraz 13" descr="Chart 1. The pie chart presenting the structure of investment outlays of cultural institutions by legal forms for the first three quarters of 2024; the data from this chart in an excel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B2F2E1" w14:textId="291E8B83" w:rsidR="00117E5B" w:rsidRPr="00117E5B" w:rsidRDefault="00982F0D" w:rsidP="00E50FC5">
      <w:pPr>
        <w:spacing w:before="360" w:line="288" w:lineRule="auto"/>
        <w:rPr>
          <w:rFonts w:eastAsia="Times New Roman" w:cs="Fira Sans"/>
          <w:spacing w:val="-1"/>
          <w:szCs w:val="19"/>
          <w:lang w:val="en-GB" w:eastAsia="pl-PL"/>
        </w:rPr>
      </w:pPr>
      <w:r>
        <w:rPr>
          <w:rFonts w:eastAsia="Times New Roman" w:cs="Fira Sans"/>
          <w:spacing w:val="-1"/>
          <w:szCs w:val="19"/>
          <w:lang w:val="en-GB" w:eastAsia="pl-PL"/>
        </w:rPr>
        <w:t>In the first</w:t>
      </w:r>
      <w:r w:rsidR="009A0432">
        <w:rPr>
          <w:rFonts w:eastAsia="Times New Roman" w:cs="Fira Sans"/>
          <w:spacing w:val="-1"/>
          <w:szCs w:val="19"/>
          <w:lang w:val="en-GB" w:eastAsia="pl-PL"/>
        </w:rPr>
        <w:t xml:space="preserve"> three quarters</w:t>
      </w:r>
      <w:r w:rsidR="00190BB7">
        <w:rPr>
          <w:rFonts w:eastAsia="Times New Roman" w:cs="Fira Sans"/>
          <w:spacing w:val="-1"/>
          <w:szCs w:val="19"/>
          <w:lang w:val="en-GB" w:eastAsia="pl-PL"/>
        </w:rPr>
        <w:t xml:space="preserve"> of 2024</w:t>
      </w:r>
      <w:r w:rsidR="00117E5B">
        <w:rPr>
          <w:rFonts w:eastAsia="Times New Roman" w:cs="Fira Sans"/>
          <w:spacing w:val="-1"/>
          <w:szCs w:val="19"/>
          <w:lang w:val="en-GB" w:eastAsia="pl-PL"/>
        </w:rPr>
        <w:t xml:space="preserve"> outlays of cultural institutions on intangible and legal assets </w:t>
      </w:r>
      <w:r w:rsidR="0054189E">
        <w:rPr>
          <w:rFonts w:eastAsia="Times New Roman" w:cs="Fira Sans"/>
          <w:spacing w:val="-1"/>
          <w:szCs w:val="19"/>
          <w:lang w:val="en-GB" w:eastAsia="pl-PL"/>
        </w:rPr>
        <w:t>decreased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190BB7">
        <w:rPr>
          <w:rFonts w:eastAsia="Times New Roman" w:cs="Fira Sans"/>
          <w:spacing w:val="-1"/>
          <w:szCs w:val="19"/>
          <w:lang w:val="en-GB" w:eastAsia="pl-PL"/>
        </w:rPr>
        <w:t xml:space="preserve">by half </w:t>
      </w:r>
      <w:r w:rsidR="00117E5B">
        <w:rPr>
          <w:rFonts w:eastAsia="Times New Roman" w:cs="Fira Sans"/>
          <w:spacing w:val="-1"/>
          <w:szCs w:val="19"/>
          <w:lang w:val="en-GB" w:eastAsia="pl-PL"/>
        </w:rPr>
        <w:t xml:space="preserve">compared </w:t>
      </w:r>
      <w:r w:rsidR="00736356">
        <w:rPr>
          <w:rFonts w:eastAsia="Times New Roman" w:cs="Fira Sans"/>
          <w:spacing w:val="-1"/>
          <w:szCs w:val="19"/>
          <w:lang w:val="en-GB" w:eastAsia="pl-PL"/>
        </w:rPr>
        <w:t xml:space="preserve">to </w:t>
      </w:r>
      <w:r w:rsidR="00117E5B">
        <w:rPr>
          <w:rFonts w:eastAsia="Times New Roman" w:cs="Fira Sans"/>
          <w:spacing w:val="-1"/>
          <w:szCs w:val="19"/>
          <w:lang w:val="en-GB" w:eastAsia="pl-PL"/>
        </w:rPr>
        <w:t>the corresponding period of the previ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ous year and amounted to PLN </w:t>
      </w:r>
      <w:r w:rsidR="00190BB7">
        <w:rPr>
          <w:rFonts w:eastAsia="Times New Roman" w:cs="Fira Sans"/>
          <w:spacing w:val="-1"/>
          <w:szCs w:val="19"/>
          <w:lang w:val="en-GB" w:eastAsia="pl-PL"/>
        </w:rPr>
        <w:t>15.4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million. </w:t>
      </w:r>
      <w:r w:rsidR="0054189E">
        <w:rPr>
          <w:rFonts w:eastAsia="Times New Roman" w:cs="Fira Sans"/>
          <w:spacing w:val="-1"/>
          <w:szCs w:val="19"/>
          <w:lang w:val="en-GB" w:eastAsia="pl-PL"/>
        </w:rPr>
        <w:t xml:space="preserve">Almost 34% </w:t>
      </w:r>
      <w:r w:rsidR="00117E5B">
        <w:rPr>
          <w:rFonts w:eastAsia="Times New Roman" w:cs="Fira Sans"/>
          <w:spacing w:val="-1"/>
          <w:szCs w:val="19"/>
          <w:lang w:val="en-GB" w:eastAsia="pl-PL"/>
        </w:rPr>
        <w:t xml:space="preserve">of outlays on intangible and legal assets were from </w:t>
      </w:r>
      <w:proofErr w:type="spellStart"/>
      <w:r w:rsidR="00117E5B">
        <w:rPr>
          <w:rFonts w:eastAsia="Times New Roman" w:cs="Fira Sans"/>
          <w:spacing w:val="-1"/>
          <w:szCs w:val="19"/>
          <w:lang w:val="en-GB" w:eastAsia="pl-PL"/>
        </w:rPr>
        <w:t>Mazowieckie</w:t>
      </w:r>
      <w:proofErr w:type="spellEnd"/>
      <w:r w:rsidR="00117E5B">
        <w:rPr>
          <w:rFonts w:eastAsia="Times New Roman" w:cs="Fira Sans"/>
          <w:spacing w:val="-1"/>
          <w:szCs w:val="19"/>
          <w:lang w:val="en-GB" w:eastAsia="pl-PL"/>
        </w:rPr>
        <w:t xml:space="preserve"> Voivodship.</w:t>
      </w:r>
    </w:p>
    <w:p w14:paraId="0B9B2CED" w14:textId="59CA7BF0" w:rsidR="00E50FC5" w:rsidRPr="007F6C7B" w:rsidRDefault="007F6C7B" w:rsidP="00170590">
      <w:pPr>
        <w:pStyle w:val="Tytutablicy"/>
        <w:ind w:left="680" w:hanging="680"/>
        <w:rPr>
          <w:lang w:val="en-GB"/>
        </w:rPr>
      </w:pPr>
      <w:r w:rsidRPr="007F6C7B">
        <w:rPr>
          <w:lang w:val="en-GB"/>
        </w:rPr>
        <w:lastRenderedPageBreak/>
        <w:t>Table 2. Total revenues and total costs of cultural institutions b</w:t>
      </w:r>
      <w:r>
        <w:rPr>
          <w:lang w:val="en-GB"/>
        </w:rPr>
        <w:t>y selected divisions and classes of PKD cla</w:t>
      </w:r>
      <w:r w:rsidR="00B719E9">
        <w:rPr>
          <w:lang w:val="en-GB"/>
        </w:rPr>
        <w:t xml:space="preserve">ssification </w:t>
      </w:r>
      <w:r w:rsidR="00CC22C6">
        <w:rPr>
          <w:lang w:val="en-GB"/>
        </w:rPr>
        <w:t>for</w:t>
      </w:r>
      <w:r w:rsidR="00B719E9">
        <w:rPr>
          <w:lang w:val="en-GB"/>
        </w:rPr>
        <w:t xml:space="preserve"> the first </w:t>
      </w:r>
      <w:r w:rsidR="00CC22C6">
        <w:rPr>
          <w:lang w:val="en-GB"/>
        </w:rPr>
        <w:t>three quarters</w:t>
      </w:r>
      <w:r w:rsidR="00E17A92">
        <w:rPr>
          <w:lang w:val="en-GB"/>
        </w:rPr>
        <w:t xml:space="preserve"> of 2024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e 2. presenting total revenues and total costs of cultural institutions by selected divisions and classes of PKD classification for the first three quarters of 2024"/>
      </w:tblPr>
      <w:tblGrid>
        <w:gridCol w:w="3969"/>
        <w:gridCol w:w="1229"/>
        <w:gridCol w:w="1230"/>
        <w:gridCol w:w="1230"/>
      </w:tblGrid>
      <w:tr w:rsidR="00E50FC5" w:rsidRPr="007C52C7" w14:paraId="44561FE6" w14:textId="77777777" w:rsidTr="00AC1EFD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172483" w14:textId="01B9ADB3" w:rsidR="00E50FC5" w:rsidRPr="007C52C7" w:rsidRDefault="007F6C7B" w:rsidP="00AC1EFD">
            <w:pPr>
              <w:pStyle w:val="Tablicagwka"/>
              <w:spacing w:before="0" w:after="0"/>
              <w:ind w:left="0"/>
              <w:jc w:val="center"/>
              <w:rPr>
                <w:lang w:val="en-GB"/>
              </w:rPr>
            </w:pPr>
            <w:r w:rsidRPr="007C52C7">
              <w:rPr>
                <w:lang w:val="en-GB"/>
              </w:rPr>
              <w:t>Specification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E09A12" w14:textId="31ACE779" w:rsidR="00E50FC5" w:rsidRPr="007C52C7" w:rsidRDefault="007F6C7B" w:rsidP="00AC1EFD">
            <w:pPr>
              <w:pStyle w:val="Tablicagwkarodek"/>
              <w:suppressAutoHyphens/>
              <w:spacing w:before="0" w:after="0"/>
              <w:rPr>
                <w:lang w:val="en-GB"/>
              </w:rPr>
            </w:pPr>
            <w:r w:rsidRPr="007C52C7">
              <w:rPr>
                <w:lang w:val="en-GB"/>
              </w:rPr>
              <w:t>Number of cultural institutions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836E45" w14:textId="47D89E19" w:rsidR="00E50FC5" w:rsidRPr="007C52C7" w:rsidRDefault="007F6C7B" w:rsidP="00AC1EFD">
            <w:pPr>
              <w:pStyle w:val="Tablicagwkarodek"/>
              <w:spacing w:before="0" w:after="0"/>
              <w:rPr>
                <w:lang w:val="en-GB"/>
              </w:rPr>
            </w:pPr>
            <w:r w:rsidRPr="007C52C7">
              <w:rPr>
                <w:lang w:val="en-GB"/>
              </w:rPr>
              <w:t>Total revenues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39C758B" w14:textId="19FC62FE" w:rsidR="00E50FC5" w:rsidRPr="007C52C7" w:rsidRDefault="007F6C7B" w:rsidP="007F6C7B">
            <w:pPr>
              <w:pStyle w:val="Tablicagwkarodek"/>
              <w:spacing w:before="0" w:after="0"/>
              <w:rPr>
                <w:lang w:val="en-GB"/>
              </w:rPr>
            </w:pPr>
            <w:r w:rsidRPr="007C52C7">
              <w:rPr>
                <w:lang w:val="en-GB"/>
              </w:rPr>
              <w:t>Total costs</w:t>
            </w:r>
          </w:p>
        </w:tc>
      </w:tr>
      <w:tr w:rsidR="00E50FC5" w:rsidRPr="007C52C7" w14:paraId="680F3FE5" w14:textId="77777777" w:rsidTr="00AC1EFD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3712A28E" w14:textId="77777777" w:rsidR="00E50FC5" w:rsidRPr="007C52C7" w:rsidRDefault="00E50FC5" w:rsidP="00AC1EFD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  <w:lang w:val="en-GB"/>
              </w:rPr>
            </w:pPr>
          </w:p>
        </w:tc>
        <w:tc>
          <w:tcPr>
            <w:tcW w:w="1229" w:type="dxa"/>
            <w:vMerge/>
            <w:vAlign w:val="center"/>
          </w:tcPr>
          <w:p w14:paraId="60F2FFEB" w14:textId="77777777" w:rsidR="00E50FC5" w:rsidRPr="007C52C7" w:rsidRDefault="00E50FC5" w:rsidP="00AC1EFD">
            <w:pPr>
              <w:pStyle w:val="Tablicagwkarodek"/>
              <w:spacing w:before="0" w:after="0"/>
              <w:rPr>
                <w:lang w:val="en-GB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6550CE82" w14:textId="14D79730" w:rsidR="00E50FC5" w:rsidRPr="007C52C7" w:rsidRDefault="007F6C7B" w:rsidP="00AC1EFD">
            <w:pPr>
              <w:pStyle w:val="Tablicagwkarodek"/>
              <w:spacing w:before="0" w:after="0"/>
              <w:rPr>
                <w:lang w:val="en-GB"/>
              </w:rPr>
            </w:pPr>
            <w:r w:rsidRPr="007C52C7">
              <w:rPr>
                <w:lang w:val="en-GB"/>
              </w:rPr>
              <w:t>in PLN million</w:t>
            </w:r>
          </w:p>
        </w:tc>
      </w:tr>
      <w:tr w:rsidR="00E17A92" w:rsidRPr="007C52C7" w14:paraId="0CA7B77A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2C1318E6" w14:textId="6445B167" w:rsidR="00E17A92" w:rsidRPr="007C52C7" w:rsidRDefault="00E17A92" w:rsidP="00E17A92">
            <w:pPr>
              <w:pStyle w:val="Tablicaboczek"/>
              <w:spacing w:before="0" w:after="0"/>
              <w:rPr>
                <w:b/>
                <w:lang w:val="en-GB"/>
              </w:rPr>
            </w:pPr>
            <w:r w:rsidRPr="007C52C7">
              <w:rPr>
                <w:b/>
                <w:lang w:val="en-GB"/>
              </w:rPr>
              <w:t>Grand total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EE7D3" w14:textId="726CAB31" w:rsidR="00E17A92" w:rsidRPr="007C52C7" w:rsidRDefault="00E17A92" w:rsidP="00E17A92">
            <w:pPr>
              <w:pStyle w:val="Tablicadanerodek"/>
              <w:spacing w:before="0" w:after="0"/>
              <w:rPr>
                <w:b/>
                <w:lang w:val="en-GB"/>
              </w:rPr>
            </w:pPr>
            <w:r>
              <w:rPr>
                <w:b/>
                <w:lang w:eastAsia="en-US"/>
              </w:rPr>
              <w:t>4,705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0734E" w14:textId="6D387686" w:rsidR="00E17A92" w:rsidRPr="007C52C7" w:rsidRDefault="00E17A92" w:rsidP="00E17A92">
            <w:pPr>
              <w:pStyle w:val="Tablicadanerodek"/>
              <w:spacing w:before="0" w:after="0"/>
              <w:rPr>
                <w:b/>
                <w:lang w:val="en-GB"/>
              </w:rPr>
            </w:pPr>
            <w:r>
              <w:rPr>
                <w:b/>
                <w:lang w:eastAsia="en-US"/>
              </w:rPr>
              <w:t>12,020.9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42F4E" w14:textId="2745D20C" w:rsidR="00E17A92" w:rsidRPr="007C52C7" w:rsidRDefault="00E17A92" w:rsidP="00E17A92">
            <w:pPr>
              <w:pStyle w:val="Tablicadanerodek"/>
              <w:spacing w:before="0" w:after="0"/>
              <w:rPr>
                <w:b/>
                <w:lang w:val="en-GB"/>
              </w:rPr>
            </w:pPr>
            <w:r>
              <w:rPr>
                <w:b/>
                <w:lang w:eastAsia="en-US"/>
              </w:rPr>
              <w:t>11,282.9</w:t>
            </w:r>
          </w:p>
        </w:tc>
      </w:tr>
      <w:tr w:rsidR="00E17A92" w:rsidRPr="007C52C7" w14:paraId="31C13FD4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9368BA1" w14:textId="2FAAD4F5" w:rsidR="00E17A92" w:rsidRPr="007C52C7" w:rsidRDefault="00E17A92" w:rsidP="00E17A92">
            <w:pPr>
              <w:pStyle w:val="Tablicaboczek"/>
              <w:spacing w:before="0" w:after="0"/>
              <w:ind w:left="284"/>
              <w:rPr>
                <w:lang w:val="en-GB"/>
              </w:rPr>
            </w:pPr>
            <w:r w:rsidRPr="007C52C7">
              <w:rPr>
                <w:lang w:val="en-GB"/>
              </w:rPr>
              <w:t xml:space="preserve">local government </w:t>
            </w:r>
            <w:proofErr w:type="gramStart"/>
            <w:r w:rsidRPr="007C52C7">
              <w:rPr>
                <w:lang w:val="en-GB"/>
              </w:rPr>
              <w:t>units</w:t>
            </w:r>
            <w:proofErr w:type="gramEnd"/>
            <w:r w:rsidRPr="007C52C7">
              <w:rPr>
                <w:lang w:val="en-GB"/>
              </w:rPr>
              <w:t xml:space="preserve"> property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75DD4" w14:textId="36748E83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lang w:eastAsia="en-US"/>
              </w:rPr>
              <w:t>4,629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76CA7" w14:textId="748DF63E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spacing w:val="1"/>
                <w:lang w:eastAsia="en-US"/>
              </w:rPr>
              <w:t>9,823.1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1005F3" w14:textId="7E6B5827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lang w:eastAsia="en-US"/>
              </w:rPr>
              <w:t>9,317.3</w:t>
            </w:r>
          </w:p>
        </w:tc>
      </w:tr>
      <w:tr w:rsidR="00E17A92" w:rsidRPr="007C52C7" w14:paraId="6B5459D1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5DBA67EE" w14:textId="79D29D5B" w:rsidR="00E17A92" w:rsidRPr="007C52C7" w:rsidRDefault="00E17A92" w:rsidP="00E17A92">
            <w:pPr>
              <w:pStyle w:val="Tablicaboczek"/>
              <w:spacing w:before="0" w:after="0"/>
              <w:ind w:left="284"/>
              <w:rPr>
                <w:lang w:val="en-GB"/>
              </w:rPr>
            </w:pPr>
            <w:r w:rsidRPr="007C52C7">
              <w:rPr>
                <w:lang w:val="en-GB"/>
              </w:rPr>
              <w:t>government property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31ECFA" w14:textId="6CD8A5D0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D12A7" w14:textId="3D930E76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lang w:eastAsia="en-US"/>
              </w:rPr>
              <w:t>2,197.8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176B9" w14:textId="64D36879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lang w:eastAsia="en-US"/>
              </w:rPr>
              <w:t>1,965.6</w:t>
            </w:r>
          </w:p>
        </w:tc>
      </w:tr>
      <w:tr w:rsidR="00E17A92" w:rsidRPr="007C52C7" w14:paraId="73E627DB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E069320" w14:textId="6A787D52" w:rsidR="00E17A92" w:rsidRPr="007C52C7" w:rsidRDefault="00E17A92" w:rsidP="00E17A92">
            <w:pPr>
              <w:pStyle w:val="Tablicaboczek"/>
              <w:spacing w:before="0" w:after="0"/>
              <w:ind w:left="142"/>
              <w:rPr>
                <w:lang w:val="en-GB"/>
              </w:rPr>
            </w:pPr>
            <w:r w:rsidRPr="007C52C7">
              <w:rPr>
                <w:lang w:val="en-GB"/>
              </w:rPr>
              <w:t>of which: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46F130" w14:textId="77777777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9FB1FB" w14:textId="77777777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7BA141" w14:textId="77777777" w:rsidR="00E17A92" w:rsidRPr="007C52C7" w:rsidRDefault="00E17A92" w:rsidP="00E17A92">
            <w:pPr>
              <w:pStyle w:val="Tablicadanerodek"/>
              <w:spacing w:before="0" w:after="0"/>
              <w:rPr>
                <w:spacing w:val="1"/>
                <w:lang w:val="en-GB"/>
              </w:rPr>
            </w:pPr>
          </w:p>
        </w:tc>
      </w:tr>
      <w:tr w:rsidR="00E17A92" w:rsidRPr="007C52C7" w14:paraId="4B3DC41B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5F93F677" w14:textId="56C7925A" w:rsidR="00E17A92" w:rsidRPr="007C52C7" w:rsidRDefault="00E17A92" w:rsidP="00E17A92">
            <w:pPr>
              <w:pStyle w:val="Tablicaboczek"/>
              <w:spacing w:before="0" w:after="0"/>
              <w:ind w:left="454" w:hanging="170"/>
              <w:rPr>
                <w:lang w:val="en-GB"/>
              </w:rPr>
            </w:pPr>
            <w:r w:rsidRPr="007C52C7">
              <w:rPr>
                <w:lang w:val="en-GB"/>
              </w:rPr>
              <w:t>creative, arts and entertainment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A632173" w14:textId="3B672E74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lang w:eastAsia="en-US"/>
              </w:rPr>
              <w:t>2,337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8071A08" w14:textId="676F629D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lang w:eastAsia="en-US"/>
              </w:rPr>
              <w:t>7,210.3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7E9C45" w14:textId="684E9757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spacing w:val="1"/>
                <w:lang w:eastAsia="en-US"/>
              </w:rPr>
              <w:t>6,828.0</w:t>
            </w:r>
          </w:p>
        </w:tc>
      </w:tr>
      <w:tr w:rsidR="00E17A92" w:rsidRPr="007C52C7" w14:paraId="655355C1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B990CC3" w14:textId="6ECE9067" w:rsidR="00E17A92" w:rsidRPr="007C52C7" w:rsidRDefault="00E17A92" w:rsidP="00E17A92">
            <w:pPr>
              <w:pStyle w:val="Tablicaboczek"/>
              <w:spacing w:before="0" w:after="0"/>
              <w:ind w:left="567"/>
              <w:rPr>
                <w:lang w:val="en-GB"/>
              </w:rPr>
            </w:pPr>
            <w:r w:rsidRPr="007C52C7">
              <w:rPr>
                <w:lang w:val="en-GB"/>
              </w:rPr>
              <w:t>of which: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B5D38" w14:textId="77777777" w:rsidR="00E17A92" w:rsidRPr="007C52C7" w:rsidRDefault="00E17A92" w:rsidP="00E17A92">
            <w:pPr>
              <w:pStyle w:val="Tablicadanerodek"/>
              <w:spacing w:before="0" w:after="0"/>
              <w:rPr>
                <w:spacing w:val="-1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841904" w14:textId="77777777" w:rsidR="00E17A92" w:rsidRPr="007C52C7" w:rsidRDefault="00E17A92" w:rsidP="00E17A92">
            <w:pPr>
              <w:pStyle w:val="Tablicadanerodek"/>
              <w:spacing w:before="0" w:after="0"/>
              <w:rPr>
                <w:spacing w:val="-1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088F8" w14:textId="77777777" w:rsidR="00E17A92" w:rsidRPr="007C52C7" w:rsidRDefault="00E17A92" w:rsidP="00E17A92">
            <w:pPr>
              <w:pStyle w:val="Tablicadanerodek"/>
              <w:spacing w:before="0" w:after="0"/>
              <w:rPr>
                <w:spacing w:val="-1"/>
                <w:lang w:val="en-GB"/>
              </w:rPr>
            </w:pPr>
          </w:p>
        </w:tc>
      </w:tr>
      <w:tr w:rsidR="00E17A92" w:rsidRPr="007C52C7" w14:paraId="440F08F6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490DA7C7" w14:textId="2476B151" w:rsidR="00E17A92" w:rsidRPr="007C52C7" w:rsidRDefault="00E17A92" w:rsidP="00E17A92">
            <w:pPr>
              <w:pStyle w:val="Tablicaboczek"/>
              <w:spacing w:before="0" w:after="0"/>
              <w:ind w:left="879" w:hanging="170"/>
              <w:rPr>
                <w:lang w:val="en-GB"/>
              </w:rPr>
            </w:pPr>
            <w:r w:rsidRPr="007C52C7">
              <w:rPr>
                <w:lang w:val="en-GB"/>
              </w:rPr>
              <w:t>performing arts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BEA4EE4" w14:textId="6B4F5FFA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lang w:eastAsia="en-US"/>
              </w:rPr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6E15340" w14:textId="72BD1822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lang w:eastAsia="en-US"/>
              </w:rPr>
              <w:t>2,178.2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D439099" w14:textId="075CC89A" w:rsidR="00E17A92" w:rsidRPr="007C52C7" w:rsidRDefault="00E17A92" w:rsidP="00E17A92">
            <w:pPr>
              <w:pStyle w:val="Tablicadanerodek"/>
              <w:spacing w:before="0" w:after="0"/>
              <w:rPr>
                <w:spacing w:val="1"/>
                <w:lang w:val="en-GB"/>
              </w:rPr>
            </w:pPr>
            <w:r>
              <w:rPr>
                <w:lang w:eastAsia="en-US"/>
              </w:rPr>
              <w:t>2,111.0</w:t>
            </w:r>
          </w:p>
        </w:tc>
      </w:tr>
      <w:tr w:rsidR="00E17A92" w:rsidRPr="007C52C7" w14:paraId="36D7830C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FD794DF" w14:textId="38A5AA77" w:rsidR="00E17A92" w:rsidRPr="007C52C7" w:rsidRDefault="00E17A92" w:rsidP="00E17A92">
            <w:pPr>
              <w:pStyle w:val="Tablicaboczek"/>
              <w:spacing w:before="0" w:after="0"/>
              <w:ind w:left="879" w:hanging="170"/>
              <w:rPr>
                <w:lang w:val="en-GB"/>
              </w:rPr>
            </w:pPr>
            <w:r w:rsidRPr="007C52C7">
              <w:rPr>
                <w:rFonts w:cs="Fira Sans"/>
                <w:spacing w:val="-1"/>
                <w:lang w:val="en-GB"/>
              </w:rPr>
              <w:t>operation of arts facilities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6D7C5" w14:textId="763AF537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lang w:eastAsia="en-US"/>
              </w:rPr>
              <w:t>2,176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09993" w14:textId="35F6B17B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lang w:eastAsia="en-US"/>
              </w:rPr>
              <w:t>4,905.4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083A8" w14:textId="5CC9D915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lang w:eastAsia="en-US"/>
              </w:rPr>
              <w:t>4,597.2</w:t>
            </w:r>
          </w:p>
        </w:tc>
      </w:tr>
      <w:tr w:rsidR="00E17A92" w:rsidRPr="007C52C7" w14:paraId="287966F4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04CB33FC" w14:textId="10C7B16D" w:rsidR="00E17A92" w:rsidRPr="007C52C7" w:rsidRDefault="00E17A92" w:rsidP="00E17A92">
            <w:pPr>
              <w:pStyle w:val="Tablicaboczek"/>
              <w:spacing w:before="0" w:after="0"/>
              <w:ind w:left="454" w:hanging="170"/>
              <w:rPr>
                <w:lang w:val="en-GB"/>
              </w:rPr>
            </w:pPr>
            <w:r w:rsidRPr="007C52C7">
              <w:rPr>
                <w:lang w:val="en-GB"/>
              </w:rPr>
              <w:t>libraries, archives, museums and other cultural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2960F1C" w14:textId="5F6EDB90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lang w:eastAsia="en-US"/>
              </w:rPr>
              <w:t>2,362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1CE605D" w14:textId="79A521A3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lang w:eastAsia="en-US"/>
              </w:rPr>
              <w:t>4,662.1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553BCA8" w14:textId="2A4A8576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lang w:eastAsia="en-US"/>
              </w:rPr>
              <w:t>4,311.4</w:t>
            </w:r>
          </w:p>
        </w:tc>
      </w:tr>
      <w:tr w:rsidR="00E17A92" w:rsidRPr="007C52C7" w14:paraId="32CA53C0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546F6419" w14:textId="7162BE24" w:rsidR="00E17A92" w:rsidRPr="007C52C7" w:rsidRDefault="00E17A92" w:rsidP="00E17A92">
            <w:pPr>
              <w:pStyle w:val="Tablicaboczek"/>
              <w:spacing w:before="0" w:after="0"/>
              <w:ind w:left="567"/>
              <w:rPr>
                <w:lang w:val="en-GB"/>
              </w:rPr>
            </w:pPr>
            <w:r w:rsidRPr="007C52C7">
              <w:rPr>
                <w:rFonts w:cs="Fira Sans"/>
                <w:spacing w:val="-1"/>
                <w:lang w:val="en-GB"/>
              </w:rPr>
              <w:t>of which: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FFB88" w14:textId="77777777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17231" w14:textId="4B249F04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C676DA" w14:textId="77777777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</w:p>
        </w:tc>
      </w:tr>
      <w:tr w:rsidR="00E17A92" w:rsidRPr="007C52C7" w14:paraId="6B14EF6C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6FBBC54" w14:textId="38052A2D" w:rsidR="00E17A92" w:rsidRPr="007C52C7" w:rsidRDefault="00E17A92" w:rsidP="00E17A92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  <w:lang w:val="en-GB"/>
              </w:rPr>
            </w:pPr>
            <w:r w:rsidRPr="007C52C7">
              <w:rPr>
                <w:rFonts w:cs="Fira Sans"/>
                <w:spacing w:val="-1"/>
                <w:lang w:val="en-GB"/>
              </w:rPr>
              <w:t>libraries and archives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4923F" w14:textId="224D319F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lang w:eastAsia="en-US"/>
              </w:rPr>
              <w:t>1,962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1B4969" w14:textId="55A3DCEF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lang w:eastAsia="en-US"/>
              </w:rPr>
              <w:t>1,988.5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C28C4" w14:textId="2FC7676B" w:rsidR="00E17A92" w:rsidRPr="007C52C7" w:rsidRDefault="00E17A92" w:rsidP="00E17A92">
            <w:pPr>
              <w:pStyle w:val="Tablicadanerodek"/>
              <w:spacing w:before="0" w:after="0"/>
              <w:rPr>
                <w:spacing w:val="1"/>
                <w:lang w:val="en-GB"/>
              </w:rPr>
            </w:pPr>
            <w:r>
              <w:rPr>
                <w:lang w:eastAsia="en-US"/>
              </w:rPr>
              <w:t>1,878.5</w:t>
            </w:r>
          </w:p>
        </w:tc>
      </w:tr>
      <w:tr w:rsidR="00E17A92" w:rsidRPr="007C52C7" w14:paraId="5DA28637" w14:textId="77777777" w:rsidTr="00AC1EFD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D31E4C4" w14:textId="36A2935E" w:rsidR="00E17A92" w:rsidRPr="007C52C7" w:rsidRDefault="00E17A92" w:rsidP="00E17A92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  <w:lang w:val="en-GB"/>
              </w:rPr>
            </w:pPr>
            <w:r w:rsidRPr="007C52C7">
              <w:rPr>
                <w:rFonts w:cs="Fira Sans"/>
                <w:spacing w:val="-1"/>
                <w:lang w:val="en-GB"/>
              </w:rPr>
              <w:t>museums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207A6" w14:textId="41ADDE98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lang w:eastAsia="en-US"/>
              </w:rPr>
              <w:t>392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8C39FB" w14:textId="13068832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lang w:eastAsia="en-US"/>
              </w:rPr>
              <w:t>2,622.0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92163" w14:textId="50EFBABF" w:rsidR="00E17A92" w:rsidRPr="007C52C7" w:rsidRDefault="00E17A92" w:rsidP="00E17A92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lang w:eastAsia="en-US"/>
              </w:rPr>
              <w:t>2,387.0</w:t>
            </w:r>
          </w:p>
        </w:tc>
      </w:tr>
    </w:tbl>
    <w:p w14:paraId="7CEC6A62" w14:textId="6E1283FA" w:rsidR="00CC2271" w:rsidRDefault="00CC2271" w:rsidP="007C52C7">
      <w:pPr>
        <w:spacing w:before="360" w:after="0" w:line="288" w:lineRule="auto"/>
        <w:rPr>
          <w:szCs w:val="19"/>
          <w:lang w:val="en-GB"/>
        </w:rPr>
      </w:pPr>
      <w:r>
        <w:rPr>
          <w:szCs w:val="19"/>
          <w:lang w:val="en-GB"/>
        </w:rPr>
        <w:t>In September 2024, some of the voivodships (</w:t>
      </w:r>
      <w:proofErr w:type="spellStart"/>
      <w:r>
        <w:rPr>
          <w:szCs w:val="19"/>
          <w:lang w:val="en-GB"/>
        </w:rPr>
        <w:t>Dolnośląskie</w:t>
      </w:r>
      <w:proofErr w:type="spellEnd"/>
      <w:r>
        <w:rPr>
          <w:szCs w:val="19"/>
          <w:lang w:val="en-GB"/>
        </w:rPr>
        <w:t xml:space="preserve">, </w:t>
      </w:r>
      <w:proofErr w:type="spellStart"/>
      <w:r>
        <w:rPr>
          <w:szCs w:val="19"/>
          <w:lang w:val="en-GB"/>
        </w:rPr>
        <w:t>Lubulskie</w:t>
      </w:r>
      <w:proofErr w:type="spellEnd"/>
      <w:r>
        <w:rPr>
          <w:szCs w:val="19"/>
          <w:lang w:val="en-GB"/>
        </w:rPr>
        <w:t xml:space="preserve">, </w:t>
      </w:r>
      <w:proofErr w:type="spellStart"/>
      <w:r>
        <w:rPr>
          <w:szCs w:val="19"/>
          <w:lang w:val="en-GB"/>
        </w:rPr>
        <w:t>Małopolskie</w:t>
      </w:r>
      <w:proofErr w:type="spellEnd"/>
      <w:r>
        <w:rPr>
          <w:szCs w:val="19"/>
          <w:lang w:val="en-GB"/>
        </w:rPr>
        <w:t xml:space="preserve">, </w:t>
      </w:r>
      <w:proofErr w:type="spellStart"/>
      <w:r>
        <w:rPr>
          <w:szCs w:val="19"/>
          <w:lang w:val="en-GB"/>
        </w:rPr>
        <w:t>Opolskie</w:t>
      </w:r>
      <w:proofErr w:type="spellEnd"/>
      <w:r>
        <w:rPr>
          <w:szCs w:val="19"/>
          <w:lang w:val="en-GB"/>
        </w:rPr>
        <w:t xml:space="preserve"> and </w:t>
      </w:r>
      <w:proofErr w:type="spellStart"/>
      <w:r>
        <w:rPr>
          <w:szCs w:val="19"/>
          <w:lang w:val="en-GB"/>
        </w:rPr>
        <w:t>Śląskie</w:t>
      </w:r>
      <w:proofErr w:type="spellEnd"/>
      <w:r>
        <w:rPr>
          <w:szCs w:val="19"/>
          <w:lang w:val="en-GB"/>
        </w:rPr>
        <w:t>) were affected by flood, which cause</w:t>
      </w:r>
      <w:r w:rsidR="009827A6">
        <w:rPr>
          <w:szCs w:val="19"/>
          <w:lang w:val="en-GB"/>
        </w:rPr>
        <w:t>d</w:t>
      </w:r>
      <w:r>
        <w:rPr>
          <w:szCs w:val="19"/>
          <w:lang w:val="en-GB"/>
        </w:rPr>
        <w:t xml:space="preserve"> disastrous consequences for some </w:t>
      </w:r>
      <w:r w:rsidR="006B6521">
        <w:rPr>
          <w:szCs w:val="19"/>
          <w:lang w:val="en-GB"/>
        </w:rPr>
        <w:t>towns</w:t>
      </w:r>
      <w:r>
        <w:rPr>
          <w:szCs w:val="19"/>
          <w:lang w:val="en-GB"/>
        </w:rPr>
        <w:t xml:space="preserve">. </w:t>
      </w:r>
      <w:r w:rsidR="006B6521">
        <w:rPr>
          <w:szCs w:val="19"/>
          <w:lang w:val="en-GB"/>
        </w:rPr>
        <w:t xml:space="preserve">Of </w:t>
      </w:r>
      <w:r>
        <w:rPr>
          <w:szCs w:val="19"/>
          <w:lang w:val="en-GB"/>
        </w:rPr>
        <w:t xml:space="preserve">1,347 cultural institutions, which are located in these five voivodships, 94 suffered negative effects of the flood, most of them (78.7%) </w:t>
      </w:r>
      <w:r w:rsidR="006B6521">
        <w:rPr>
          <w:szCs w:val="19"/>
          <w:lang w:val="en-GB"/>
        </w:rPr>
        <w:t xml:space="preserve">only </w:t>
      </w:r>
      <w:r w:rsidR="00E43A7E">
        <w:rPr>
          <w:szCs w:val="19"/>
          <w:lang w:val="en-GB"/>
        </w:rPr>
        <w:t>slight</w:t>
      </w:r>
      <w:r w:rsidR="009827A6">
        <w:rPr>
          <w:szCs w:val="19"/>
          <w:lang w:val="en-GB"/>
        </w:rPr>
        <w:t>ly</w:t>
      </w:r>
      <w:r w:rsidR="00E43A7E">
        <w:rPr>
          <w:szCs w:val="19"/>
          <w:lang w:val="en-GB"/>
        </w:rPr>
        <w:t>. Seriou</w:t>
      </w:r>
      <w:r w:rsidR="00190BB7">
        <w:rPr>
          <w:szCs w:val="19"/>
          <w:lang w:val="en-GB"/>
        </w:rPr>
        <w:t xml:space="preserve">s consequences of the </w:t>
      </w:r>
      <w:r w:rsidR="00E43A7E">
        <w:rPr>
          <w:szCs w:val="19"/>
          <w:lang w:val="en-GB"/>
        </w:rPr>
        <w:t xml:space="preserve">flood </w:t>
      </w:r>
      <w:r w:rsidR="00190BB7">
        <w:rPr>
          <w:szCs w:val="19"/>
          <w:lang w:val="en-GB"/>
        </w:rPr>
        <w:t xml:space="preserve">in September </w:t>
      </w:r>
      <w:r w:rsidR="00E43A7E">
        <w:rPr>
          <w:szCs w:val="19"/>
          <w:lang w:val="en-GB"/>
        </w:rPr>
        <w:t xml:space="preserve">were experienced by 13 entities, and </w:t>
      </w:r>
      <w:r w:rsidR="006B6521">
        <w:rPr>
          <w:szCs w:val="19"/>
          <w:lang w:val="en-GB"/>
        </w:rPr>
        <w:t xml:space="preserve">7 entities - </w:t>
      </w:r>
      <w:r w:rsidR="00E43A7E">
        <w:rPr>
          <w:szCs w:val="19"/>
          <w:lang w:val="en-GB"/>
        </w:rPr>
        <w:t>in the way that threatened the stability of institutions</w:t>
      </w:r>
      <w:r w:rsidR="00E43A7E">
        <w:rPr>
          <w:szCs w:val="19"/>
          <w:lang w:val="en-GB"/>
        </w:rPr>
        <w:softHyphen/>
        <w:t>.</w:t>
      </w:r>
      <w:r w:rsidR="00AC60D9">
        <w:rPr>
          <w:szCs w:val="19"/>
          <w:lang w:val="en-GB"/>
        </w:rPr>
        <w:t xml:space="preserve"> </w:t>
      </w:r>
      <w:r w:rsidR="006B6521">
        <w:rPr>
          <w:szCs w:val="19"/>
          <w:lang w:val="en-GB"/>
        </w:rPr>
        <w:t>The n</w:t>
      </w:r>
      <w:r w:rsidR="00AC60D9">
        <w:rPr>
          <w:szCs w:val="19"/>
          <w:lang w:val="en-GB"/>
        </w:rPr>
        <w:t xml:space="preserve">egative effects of the flood concerned mainly infrastructure, i.e. building with the associated area and equipment (64.9% of cultural institutions affected by flood), restrictions on running </w:t>
      </w:r>
      <w:r w:rsidR="006B6521">
        <w:rPr>
          <w:szCs w:val="19"/>
          <w:lang w:val="en-GB"/>
        </w:rPr>
        <w:t xml:space="preserve">the </w:t>
      </w:r>
      <w:r w:rsidR="00AC60D9">
        <w:rPr>
          <w:szCs w:val="19"/>
          <w:lang w:val="en-GB"/>
        </w:rPr>
        <w:t xml:space="preserve">activity (38.3%) and lack of visitors/people taking advantage of the institution’s offer (26.6%). </w:t>
      </w:r>
      <w:r w:rsidR="00190BB7">
        <w:rPr>
          <w:szCs w:val="19"/>
          <w:lang w:val="en-GB"/>
        </w:rPr>
        <w:t xml:space="preserve">Part of the </w:t>
      </w:r>
      <w:r w:rsidR="008F05BC">
        <w:rPr>
          <w:szCs w:val="19"/>
          <w:lang w:val="en-GB"/>
        </w:rPr>
        <w:t>institutions experienced large organi</w:t>
      </w:r>
      <w:r w:rsidR="009827A6">
        <w:rPr>
          <w:szCs w:val="19"/>
          <w:lang w:val="en-GB"/>
        </w:rPr>
        <w:t>s</w:t>
      </w:r>
      <w:r w:rsidR="008F05BC">
        <w:rPr>
          <w:szCs w:val="19"/>
          <w:lang w:val="en-GB"/>
        </w:rPr>
        <w:t>ational problems in their functioning (11 institutions), destruction of collections (9), lack of employees (6) and problems with current financing (5).</w:t>
      </w:r>
    </w:p>
    <w:p w14:paraId="62D96A4D" w14:textId="14BA242B" w:rsidR="007C52C7" w:rsidRPr="003263F5" w:rsidRDefault="007C52C7" w:rsidP="007C52C7">
      <w:pPr>
        <w:spacing w:before="360" w:after="0" w:line="288" w:lineRule="auto"/>
        <w:rPr>
          <w:lang w:val="en-GB"/>
        </w:rPr>
      </w:pPr>
      <w:r w:rsidRPr="00A14039">
        <w:rPr>
          <w:szCs w:val="19"/>
          <w:lang w:val="en-GB"/>
        </w:rPr>
        <w:t xml:space="preserve">The data presented in this study were prepared on the basis of the form with the symbol </w:t>
      </w:r>
      <w:r>
        <w:rPr>
          <w:szCs w:val="19"/>
          <w:lang w:val="en-GB"/>
        </w:rPr>
        <w:br/>
      </w:r>
      <w:r w:rsidRPr="00A14039">
        <w:rPr>
          <w:szCs w:val="19"/>
          <w:lang w:val="en-GB"/>
        </w:rPr>
        <w:t xml:space="preserve">F-01/dk </w:t>
      </w:r>
      <w:r w:rsidRPr="00A14039">
        <w:rPr>
          <w:i/>
          <w:szCs w:val="19"/>
          <w:lang w:val="en-GB"/>
        </w:rPr>
        <w:t>Quarterly report on the finances of cultural institutions</w:t>
      </w:r>
      <w:r w:rsidRPr="00A14039">
        <w:rPr>
          <w:szCs w:val="19"/>
          <w:lang w:val="en-GB"/>
        </w:rPr>
        <w:t>.</w:t>
      </w:r>
    </w:p>
    <w:p w14:paraId="4809D44B" w14:textId="19E7BF09" w:rsidR="00694AF0" w:rsidRPr="00453F5C" w:rsidRDefault="00453F5C" w:rsidP="008F05BC">
      <w:pPr>
        <w:spacing w:before="2000" w:line="288" w:lineRule="auto"/>
        <w:rPr>
          <w:sz w:val="18"/>
          <w:lang w:val="en-GB"/>
        </w:rPr>
      </w:pPr>
      <w:r w:rsidRPr="00453F5C">
        <w:rPr>
          <w:shd w:val="clear" w:color="auto" w:fill="FFFFFF"/>
          <w:lang w:val="en-GB"/>
        </w:rPr>
        <w:t>In the case of quoting data from the Statistics Poland, please provide information: "Statistics Poland data source", and in the case of publishing calculations made on data published by the Statistics Poland, please provide information: "Own study based on Statistics Poland data"</w:t>
      </w:r>
      <w:r w:rsidR="00AD4BFC" w:rsidRPr="00453F5C">
        <w:rPr>
          <w:shd w:val="clear" w:color="auto" w:fill="FFFFFF"/>
          <w:lang w:val="en-GB"/>
        </w:rPr>
        <w:t>.</w:t>
      </w:r>
    </w:p>
    <w:p w14:paraId="3C222B0C" w14:textId="77777777" w:rsidR="00DA331D" w:rsidRPr="00453F5C" w:rsidRDefault="00DA331D" w:rsidP="0030079A">
      <w:pPr>
        <w:rPr>
          <w:sz w:val="18"/>
          <w:lang w:val="en-GB"/>
        </w:rPr>
        <w:sectPr w:rsidR="00DA331D" w:rsidRPr="00453F5C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E17A92" w:rsidRPr="009B77DB" w14:paraId="2896412C" w14:textId="77777777" w:rsidTr="00216DE1">
        <w:trPr>
          <w:cantSplit/>
          <w:trHeight w:val="1626"/>
        </w:trPr>
        <w:tc>
          <w:tcPr>
            <w:tcW w:w="4926" w:type="dxa"/>
          </w:tcPr>
          <w:p w14:paraId="541EF24A" w14:textId="77777777" w:rsidR="00E17A92" w:rsidRPr="00A306AD" w:rsidRDefault="00E17A92" w:rsidP="00E17A9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A306A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4241EAD5" w14:textId="77777777" w:rsidR="00E17A92" w:rsidRPr="00A306AD" w:rsidRDefault="00E17A92" w:rsidP="00E17A92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A306AD">
              <w:rPr>
                <w:b/>
                <w:sz w:val="20"/>
                <w:szCs w:val="20"/>
                <w:lang w:val="en-GB"/>
              </w:rPr>
              <w:t>Statistical Office in Kraków</w:t>
            </w:r>
          </w:p>
          <w:p w14:paraId="75DAC112" w14:textId="77777777" w:rsidR="00E17A92" w:rsidRPr="00A306AD" w:rsidRDefault="00E17A92" w:rsidP="00E17A92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 w:rsidRPr="00A306AD">
              <w:rPr>
                <w:b/>
                <w:sz w:val="20"/>
                <w:szCs w:val="20"/>
                <w:lang w:val="en-GB"/>
              </w:rPr>
              <w:t>Director Agnieszka Szlubowska</w:t>
            </w:r>
          </w:p>
          <w:p w14:paraId="52EEBDAC" w14:textId="642DCB9E" w:rsidR="00E17A92" w:rsidRPr="00FA47D4" w:rsidRDefault="00E17A92" w:rsidP="00E17A92">
            <w:pPr>
              <w:rPr>
                <w:sz w:val="20"/>
                <w:szCs w:val="20"/>
                <w:lang w:val="en-GB"/>
              </w:rPr>
            </w:pPr>
            <w:r w:rsidRPr="00A306AD">
              <w:rPr>
                <w:lang w:val="en-GB"/>
              </w:rPr>
              <w:t>Phone:</w:t>
            </w:r>
            <w:r w:rsidRPr="00A306AD">
              <w:rPr>
                <w:color w:val="000000" w:themeColor="text1"/>
                <w:lang w:val="en-GB"/>
              </w:rPr>
              <w:t xml:space="preserve"> </w:t>
            </w:r>
            <w:hyperlink r:id="rId17" w:tooltip="click to call" w:history="1">
              <w:r w:rsidRPr="00A306AD">
                <w:rPr>
                  <w:rStyle w:val="Hipercze"/>
                  <w:color w:val="000000" w:themeColor="text1"/>
                  <w:u w:val="none"/>
                  <w:lang w:val="en-GB"/>
                </w:rPr>
                <w:t>(+48 12) 420 40 50</w:t>
              </w:r>
            </w:hyperlink>
          </w:p>
        </w:tc>
        <w:tc>
          <w:tcPr>
            <w:tcW w:w="4927" w:type="dxa"/>
          </w:tcPr>
          <w:p w14:paraId="53CD2F11" w14:textId="77777777" w:rsidR="00E17A92" w:rsidRPr="00A306AD" w:rsidRDefault="00E17A92" w:rsidP="00E17A92">
            <w:pPr>
              <w:spacing w:before="0" w:after="0"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A306AD">
              <w:rPr>
                <w:rFonts w:cs="Arial"/>
                <w:sz w:val="20"/>
                <w:szCs w:val="20"/>
                <w:lang w:val="en-GB"/>
              </w:rPr>
              <w:t>Issued by:</w:t>
            </w:r>
          </w:p>
          <w:p w14:paraId="01937F2A" w14:textId="77777777" w:rsidR="00E17A92" w:rsidRPr="00A306AD" w:rsidRDefault="00E17A92" w:rsidP="00E17A92">
            <w:pPr>
              <w:spacing w:before="0"/>
              <w:rPr>
                <w:b/>
                <w:sz w:val="20"/>
                <w:szCs w:val="20"/>
                <w:lang w:val="en-GB"/>
              </w:rPr>
            </w:pPr>
            <w:r w:rsidRPr="00A306AD">
              <w:rPr>
                <w:b/>
                <w:sz w:val="20"/>
                <w:szCs w:val="20"/>
                <w:lang w:val="en-GB"/>
              </w:rPr>
              <w:t>Press Office</w:t>
            </w:r>
          </w:p>
          <w:p w14:paraId="12821586" w14:textId="77777777" w:rsidR="00E17A92" w:rsidRPr="00A306AD" w:rsidRDefault="00E17A92" w:rsidP="00E17A92">
            <w:pPr>
              <w:rPr>
                <w:sz w:val="20"/>
                <w:szCs w:val="20"/>
                <w:lang w:val="en-GB"/>
              </w:rPr>
            </w:pPr>
            <w:r w:rsidRPr="00A306AD">
              <w:rPr>
                <w:sz w:val="20"/>
                <w:szCs w:val="20"/>
                <w:lang w:val="en-GB"/>
              </w:rPr>
              <w:t>Mobile: (+48) 695 255 032</w:t>
            </w:r>
          </w:p>
          <w:p w14:paraId="2380700D" w14:textId="77777777" w:rsidR="00E17A92" w:rsidRPr="00A306AD" w:rsidRDefault="00E17A92" w:rsidP="00E17A92">
            <w:pPr>
              <w:spacing w:after="0"/>
              <w:rPr>
                <w:sz w:val="20"/>
                <w:szCs w:val="20"/>
                <w:lang w:val="en-GB"/>
              </w:rPr>
            </w:pPr>
            <w:r w:rsidRPr="00A306AD">
              <w:rPr>
                <w:sz w:val="20"/>
                <w:szCs w:val="20"/>
                <w:lang w:val="en-GB"/>
              </w:rPr>
              <w:t xml:space="preserve">Phone: (+48 22) 608 38 04, (+48 22) 449 41 45, </w:t>
            </w:r>
          </w:p>
          <w:p w14:paraId="115774CF" w14:textId="77777777" w:rsidR="00E17A92" w:rsidRPr="00A306AD" w:rsidRDefault="00E17A92" w:rsidP="00E17A92">
            <w:pPr>
              <w:spacing w:before="0"/>
              <w:ind w:left="680"/>
              <w:rPr>
                <w:sz w:val="20"/>
                <w:szCs w:val="20"/>
                <w:lang w:val="en-GB"/>
              </w:rPr>
            </w:pPr>
            <w:r w:rsidRPr="00A306AD">
              <w:rPr>
                <w:sz w:val="20"/>
                <w:szCs w:val="20"/>
                <w:lang w:val="en-GB"/>
              </w:rPr>
              <w:t xml:space="preserve">(+48 22) 608 30 09 </w:t>
            </w:r>
          </w:p>
          <w:p w14:paraId="6F6FA192" w14:textId="6328EF5E" w:rsidR="00E17A92" w:rsidRPr="00FA47D4" w:rsidRDefault="00E17A92" w:rsidP="00E17A92">
            <w:pPr>
              <w:rPr>
                <w:sz w:val="18"/>
                <w:lang w:val="en-GB"/>
              </w:rPr>
            </w:pPr>
            <w:r w:rsidRPr="00A306AD">
              <w:rPr>
                <w:b/>
                <w:sz w:val="20"/>
                <w:szCs w:val="20"/>
                <w:lang w:val="en-GB"/>
              </w:rPr>
              <w:t>e-mail:</w:t>
            </w:r>
            <w:r w:rsidRPr="00A306AD">
              <w:rPr>
                <w:sz w:val="20"/>
                <w:szCs w:val="20"/>
                <w:lang w:val="en-GB"/>
              </w:rPr>
              <w:t xml:space="preserve"> </w:t>
            </w:r>
            <w:hyperlink r:id="rId18" w:tooltip="obslugaprasowa@stat.gov.pl" w:history="1">
              <w:r w:rsidRPr="00A306AD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</w:tr>
      <w:tr w:rsidR="00E17A92" w:rsidRPr="00FA47D4" w14:paraId="6A3DA35A" w14:textId="77777777" w:rsidTr="00216DE1">
        <w:trPr>
          <w:cantSplit/>
          <w:trHeight w:val="418"/>
        </w:trPr>
        <w:tc>
          <w:tcPr>
            <w:tcW w:w="4926" w:type="dxa"/>
            <w:vMerge w:val="restart"/>
          </w:tcPr>
          <w:p w14:paraId="71481658" w14:textId="3473DA41" w:rsidR="00E17A92" w:rsidRPr="00FA47D4" w:rsidRDefault="00E17A92" w:rsidP="00E17A92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758E2C12" w14:textId="27D66DA3" w:rsidR="00E17A92" w:rsidRPr="00FA47D4" w:rsidRDefault="00E17A92" w:rsidP="00E17A92">
            <w:pPr>
              <w:ind w:firstLine="680"/>
              <w:rPr>
                <w:sz w:val="18"/>
                <w:lang w:val="en-GB"/>
              </w:rPr>
            </w:pPr>
            <w:r w:rsidRPr="00A306AD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38C48E" wp14:editId="64D95A3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" name="Obraz 2" descr="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0" w:tooltip="website SO" w:history="1">
              <w:r w:rsidRPr="00A306AD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stat.gov.pl/</w:t>
              </w:r>
              <w:proofErr w:type="spellStart"/>
              <w:r w:rsidRPr="00A306AD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en</w:t>
              </w:r>
              <w:proofErr w:type="spellEnd"/>
              <w:r w:rsidRPr="00A306AD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/</w:t>
              </w:r>
            </w:hyperlink>
          </w:p>
        </w:tc>
      </w:tr>
      <w:tr w:rsidR="00E17A92" w:rsidRPr="00FA47D4" w14:paraId="0176E063" w14:textId="77777777" w:rsidTr="00216DE1">
        <w:trPr>
          <w:cantSplit/>
          <w:trHeight w:val="418"/>
        </w:trPr>
        <w:tc>
          <w:tcPr>
            <w:tcW w:w="4926" w:type="dxa"/>
            <w:vMerge/>
          </w:tcPr>
          <w:p w14:paraId="59B0946D" w14:textId="77777777" w:rsidR="00E17A92" w:rsidRPr="00FA47D4" w:rsidRDefault="00E17A92" w:rsidP="00E17A92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63B068B" w14:textId="67779175" w:rsidR="00E17A92" w:rsidRPr="00FA47D4" w:rsidRDefault="00E17A92" w:rsidP="00E17A92">
            <w:pPr>
              <w:ind w:firstLine="680"/>
              <w:rPr>
                <w:sz w:val="18"/>
                <w:lang w:val="en-GB"/>
              </w:rPr>
            </w:pPr>
            <w:r w:rsidRPr="00A306AD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71141BB4" wp14:editId="2B77CAC4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30480</wp:posOffset>
                  </wp:positionV>
                  <wp:extent cx="251460" cy="251460"/>
                  <wp:effectExtent l="0" t="0" r="0" b="0"/>
                  <wp:wrapNone/>
                  <wp:docPr id="16" name="Obraz 16" descr="x (formerly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06AD">
              <w:rPr>
                <w:color w:val="000000" w:themeColor="text1"/>
                <w:lang w:val="en-GB"/>
              </w:rPr>
              <w:t>@</w:t>
            </w:r>
            <w:proofErr w:type="spellStart"/>
            <w:r w:rsidR="009B77DB">
              <w:fldChar w:fldCharType="begin"/>
            </w:r>
            <w:r w:rsidR="009B77DB">
              <w:instrText xml:space="preserve"> HYPERLINK "https://twitter.com/StatPoland" \o "twitter" </w:instrText>
            </w:r>
            <w:r w:rsidR="009B77DB">
              <w:fldChar w:fldCharType="separate"/>
            </w:r>
            <w:r w:rsidRPr="00A306AD">
              <w:rPr>
                <w:rStyle w:val="Hipercze"/>
                <w:color w:val="000000" w:themeColor="text1"/>
                <w:u w:val="none"/>
                <w:lang w:val="en-GB"/>
              </w:rPr>
              <w:t>StatPoland</w:t>
            </w:r>
            <w:proofErr w:type="spellEnd"/>
            <w:r w:rsidR="009B77DB">
              <w:rPr>
                <w:rStyle w:val="Hipercze"/>
                <w:color w:val="000000" w:themeColor="text1"/>
                <w:u w:val="none"/>
                <w:lang w:val="en-GB"/>
              </w:rPr>
              <w:fldChar w:fldCharType="end"/>
            </w:r>
          </w:p>
        </w:tc>
      </w:tr>
      <w:tr w:rsidR="00E17A92" w:rsidRPr="00FA47D4" w14:paraId="0E9DAFB2" w14:textId="77777777" w:rsidTr="00216DE1">
        <w:trPr>
          <w:cantSplit/>
          <w:trHeight w:val="476"/>
        </w:trPr>
        <w:tc>
          <w:tcPr>
            <w:tcW w:w="4926" w:type="dxa"/>
            <w:vMerge/>
          </w:tcPr>
          <w:p w14:paraId="488AD9EE" w14:textId="77777777" w:rsidR="00E17A92" w:rsidRPr="00FA47D4" w:rsidRDefault="00E17A92" w:rsidP="00E17A92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11D7607F" w14:textId="055B430D" w:rsidR="00E17A92" w:rsidRPr="00FA47D4" w:rsidRDefault="00E17A92" w:rsidP="00E17A92">
            <w:pPr>
              <w:ind w:firstLine="680"/>
              <w:rPr>
                <w:sz w:val="18"/>
                <w:lang w:val="en-GB"/>
              </w:rPr>
            </w:pPr>
            <w:r w:rsidRPr="00A306AD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1927FC74" wp14:editId="2E0CA07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39214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tooltip="facebook" w:history="1">
              <w:r w:rsidRPr="00A306AD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Pr="00A306AD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  <w:r w:rsidRPr="00A306AD">
              <w:rPr>
                <w:noProof/>
                <w:color w:val="000000" w:themeColor="text1"/>
                <w:sz w:val="20"/>
                <w:lang w:val="en-GB" w:eastAsia="pl-PL"/>
              </w:rPr>
              <w:t xml:space="preserve"> </w:t>
            </w:r>
          </w:p>
        </w:tc>
      </w:tr>
      <w:tr w:rsidR="00E17A92" w:rsidRPr="00FA47D4" w14:paraId="531EE402" w14:textId="77777777" w:rsidTr="00216DE1">
        <w:trPr>
          <w:cantSplit/>
          <w:trHeight w:val="426"/>
        </w:trPr>
        <w:tc>
          <w:tcPr>
            <w:tcW w:w="4926" w:type="dxa"/>
          </w:tcPr>
          <w:p w14:paraId="526A050C" w14:textId="77777777" w:rsidR="00E17A92" w:rsidRPr="00FA47D4" w:rsidRDefault="00E17A92" w:rsidP="00E17A92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48507ED7" w14:textId="05D2E393" w:rsidR="00E17A92" w:rsidRPr="00FA47D4" w:rsidRDefault="00E17A92" w:rsidP="00E17A92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A306AD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067120A6" wp14:editId="3CFE342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37944</wp:posOffset>
                  </wp:positionV>
                  <wp:extent cx="251460" cy="251460"/>
                  <wp:effectExtent l="0" t="0" r="0" b="0"/>
                  <wp:wrapNone/>
                  <wp:docPr id="5" name="Obraz 5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tooltip="intagram GUS" w:history="1">
              <w:proofErr w:type="spellStart"/>
              <w:r w:rsidRPr="00A306AD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gus_stat</w:t>
              </w:r>
              <w:proofErr w:type="spellEnd"/>
            </w:hyperlink>
          </w:p>
        </w:tc>
      </w:tr>
      <w:tr w:rsidR="00E17A92" w:rsidRPr="00FA47D4" w14:paraId="75F0F3F8" w14:textId="77777777" w:rsidTr="00216DE1">
        <w:trPr>
          <w:cantSplit/>
          <w:trHeight w:val="504"/>
        </w:trPr>
        <w:tc>
          <w:tcPr>
            <w:tcW w:w="4926" w:type="dxa"/>
          </w:tcPr>
          <w:p w14:paraId="631DFBC3" w14:textId="77777777" w:rsidR="00E17A92" w:rsidRPr="00FA47D4" w:rsidRDefault="00E17A92" w:rsidP="00E17A92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10505C48" w14:textId="173DEE5C" w:rsidR="00E17A92" w:rsidRPr="00FA47D4" w:rsidRDefault="00E17A92" w:rsidP="00E17A92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A306AD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15936" behindDoc="0" locked="0" layoutInCell="1" allowOverlap="1" wp14:anchorId="3DEE0FAC" wp14:editId="70DC019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47629</wp:posOffset>
                  </wp:positionV>
                  <wp:extent cx="251460" cy="251460"/>
                  <wp:effectExtent l="0" t="0" r="0" b="0"/>
                  <wp:wrapNone/>
                  <wp:docPr id="17" name="Obraz 17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tooltip="youtube GUS" w:history="1">
              <w:proofErr w:type="spellStart"/>
              <w:r w:rsidRPr="00A306AD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glownyurzadstatystycznygus</w:t>
              </w:r>
              <w:proofErr w:type="spellEnd"/>
            </w:hyperlink>
          </w:p>
        </w:tc>
      </w:tr>
      <w:tr w:rsidR="00E17A92" w:rsidRPr="00FA47D4" w14:paraId="4A1197BF" w14:textId="77777777" w:rsidTr="00216DE1">
        <w:trPr>
          <w:cantSplit/>
          <w:trHeight w:val="1546"/>
        </w:trPr>
        <w:tc>
          <w:tcPr>
            <w:tcW w:w="4926" w:type="dxa"/>
          </w:tcPr>
          <w:p w14:paraId="37CC6BAD" w14:textId="77777777" w:rsidR="00E17A92" w:rsidRPr="00FA47D4" w:rsidRDefault="00E17A92" w:rsidP="00E17A92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384BABFB" w14:textId="5FA0F807" w:rsidR="00E17A92" w:rsidRPr="00FA47D4" w:rsidRDefault="00170590" w:rsidP="00E17A92">
            <w:pPr>
              <w:ind w:firstLine="680"/>
              <w:rPr>
                <w:noProof/>
                <w:sz w:val="20"/>
                <w:lang w:val="en-GB" w:eastAsia="pl-PL"/>
              </w:rPr>
            </w:pPr>
            <w:hyperlink r:id="rId28" w:tooltip="linkedin GUS" w:history="1">
              <w:r w:rsidR="00E17A92" w:rsidRPr="00A306AD">
                <w:rPr>
                  <w:rStyle w:val="Hipercze"/>
                  <w:noProof/>
                  <w:color w:val="000000" w:themeColor="text1"/>
                  <w:sz w:val="20"/>
                  <w:u w:val="none"/>
                  <w:lang w:val="en-GB" w:eastAsia="pl-PL"/>
                </w:rPr>
                <w:t>glownyurzadstatystyczny</w:t>
              </w:r>
              <w:r w:rsidR="00E17A92" w:rsidRPr="00A306AD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816960" behindDoc="0" locked="0" layoutInCell="1" allowOverlap="1" wp14:anchorId="3D581409" wp14:editId="770581E5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7" name="Obraz 7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453F5C" w:rsidRPr="00FA47D4" w14:paraId="72BEAAEA" w14:textId="77777777" w:rsidTr="00216DE1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FF752E1" w14:textId="77777777" w:rsidR="00453F5C" w:rsidRPr="00FA47D4" w:rsidRDefault="00453F5C" w:rsidP="00467C13">
            <w:pPr>
              <w:shd w:val="clear" w:color="auto" w:fill="D9D9D9" w:themeFill="background1" w:themeFillShade="D9"/>
              <w:suppressAutoHyphens/>
              <w:spacing w:before="360" w:line="288" w:lineRule="auto"/>
              <w:rPr>
                <w:b/>
                <w:lang w:val="en-GB"/>
              </w:rPr>
            </w:pPr>
            <w:r w:rsidRPr="00FA47D4">
              <w:rPr>
                <w:b/>
                <w:lang w:val="en-GB"/>
              </w:rPr>
              <w:t>Related information</w:t>
            </w:r>
          </w:p>
          <w:p w14:paraId="438E4E43" w14:textId="3D6E451E" w:rsidR="00E17A92" w:rsidRPr="00A306AD" w:rsidRDefault="00170590" w:rsidP="00E17A92">
            <w:pPr>
              <w:rPr>
                <w:rStyle w:val="Hipercze"/>
                <w:lang w:val="en-GB"/>
              </w:rPr>
            </w:pPr>
            <w:hyperlink r:id="rId30" w:tooltip="link to the publication &quot;Financial results of cultural institutions in the first half of 2024 &quot;" w:history="1">
              <w:r w:rsidR="00E17A92">
                <w:rPr>
                  <w:rStyle w:val="Hipercze"/>
                  <w:lang w:val="en-GB"/>
                </w:rPr>
                <w:t xml:space="preserve">Financial results of cultural institutions in the first half of 2024 </w:t>
              </w:r>
            </w:hyperlink>
          </w:p>
          <w:p w14:paraId="40870E62" w14:textId="346B3313" w:rsidR="00453F5C" w:rsidRPr="00FA47D4" w:rsidRDefault="00170590" w:rsidP="00467C13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1" w:tooltip="link to the publication &quot;Methodological report. Non-financial enterprises surveys 2019&quot;" w:history="1">
              <w:r w:rsidR="00577D54" w:rsidRPr="006E3462">
                <w:rPr>
                  <w:rStyle w:val="Hipercze"/>
                  <w:lang w:val="en-GB"/>
                </w:rPr>
                <w:t>Methodological report. Non-financial enterprises surveys 2019</w:t>
              </w:r>
            </w:hyperlink>
          </w:p>
          <w:p w14:paraId="183F8D29" w14:textId="77777777" w:rsidR="00453F5C" w:rsidRPr="00FA47D4" w:rsidRDefault="00453F5C" w:rsidP="00467C13">
            <w:pPr>
              <w:shd w:val="clear" w:color="auto" w:fill="D9D9D9" w:themeFill="background1" w:themeFillShade="D9"/>
              <w:suppressAutoHyphens/>
              <w:spacing w:before="360" w:line="288" w:lineRule="auto"/>
              <w:rPr>
                <w:b/>
                <w:color w:val="000000" w:themeColor="text1"/>
                <w:szCs w:val="24"/>
                <w:lang w:val="en-GB"/>
              </w:rPr>
            </w:pPr>
            <w:r w:rsidRPr="00467C13">
              <w:rPr>
                <w:b/>
                <w:lang w:val="en-GB"/>
              </w:rPr>
              <w:t>Terms used in official statistics</w:t>
            </w:r>
          </w:p>
          <w:p w14:paraId="35B4EF2B" w14:textId="09CE566C" w:rsidR="00577D54" w:rsidRPr="002F63A4" w:rsidRDefault="00170590" w:rsidP="00467C13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2" w:tooltip="link to the term &quot;Total revenues&quot;" w:history="1">
              <w:r w:rsidR="00577D54" w:rsidRPr="006E3462">
                <w:rPr>
                  <w:rStyle w:val="Hipercze"/>
                  <w:lang w:val="en-GB"/>
                </w:rPr>
                <w:t>Total revenues</w:t>
              </w:r>
            </w:hyperlink>
          </w:p>
          <w:p w14:paraId="7948195D" w14:textId="3BDA59D9" w:rsidR="00577D54" w:rsidRPr="002F63A4" w:rsidRDefault="00170590" w:rsidP="00467C13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3" w:tooltip="link to the term &quot;Total costs&quot;" w:history="1">
              <w:r w:rsidR="00577D54" w:rsidRPr="006E3462">
                <w:rPr>
                  <w:rStyle w:val="Hipercze"/>
                  <w:lang w:val="en-GB"/>
                </w:rPr>
                <w:t>Total costs</w:t>
              </w:r>
            </w:hyperlink>
          </w:p>
          <w:p w14:paraId="5E01EF55" w14:textId="4D016B04" w:rsidR="00577D54" w:rsidRPr="002F63A4" w:rsidRDefault="00170590" w:rsidP="00467C13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4" w:tooltip="link to the term &quot;Gross financial result&quot;" w:history="1">
              <w:r w:rsidR="00577D54" w:rsidRPr="006E3462">
                <w:rPr>
                  <w:rStyle w:val="Hipercze"/>
                  <w:lang w:val="en-GB"/>
                </w:rPr>
                <w:t>Gross financial result</w:t>
              </w:r>
            </w:hyperlink>
          </w:p>
          <w:p w14:paraId="0B47751C" w14:textId="76BFEF45" w:rsidR="00577D54" w:rsidRPr="002F63A4" w:rsidRDefault="00170590" w:rsidP="00467C13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5" w:tooltip="link to the term &quot;Net financial result&quot;" w:history="1">
              <w:r w:rsidR="00577D54" w:rsidRPr="006E3462">
                <w:rPr>
                  <w:rStyle w:val="Hipercze"/>
                  <w:lang w:val="en-GB"/>
                </w:rPr>
                <w:t>Net financial result</w:t>
              </w:r>
            </w:hyperlink>
          </w:p>
          <w:p w14:paraId="4F6475DC" w14:textId="4CF456F9" w:rsidR="00577D54" w:rsidRPr="002F63A4" w:rsidRDefault="00170590" w:rsidP="00467C13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6" w:tooltip="link to the term &quot;Investment outlays&quot;" w:history="1">
              <w:r w:rsidR="00577D54" w:rsidRPr="006E3462">
                <w:rPr>
                  <w:rStyle w:val="Hipercze"/>
                  <w:lang w:val="en-GB"/>
                </w:rPr>
                <w:t>Investment outlays</w:t>
              </w:r>
            </w:hyperlink>
          </w:p>
          <w:p w14:paraId="5C0A45B9" w14:textId="57F1EA87" w:rsidR="00577D54" w:rsidRPr="002F63A4" w:rsidRDefault="00170590" w:rsidP="00467C13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7" w:tooltip="link to the term &quot;Outlays on intangible fixed assets&quot;" w:history="1">
              <w:r w:rsidR="00577D54" w:rsidRPr="006E3462">
                <w:rPr>
                  <w:rStyle w:val="Hipercze"/>
                  <w:lang w:val="en-GB"/>
                </w:rPr>
                <w:t>Outlays on intangible fixed assets</w:t>
              </w:r>
            </w:hyperlink>
          </w:p>
          <w:p w14:paraId="15622F56" w14:textId="243B11C0" w:rsidR="00453F5C" w:rsidRPr="00FA47D4" w:rsidRDefault="00170590" w:rsidP="00467C13">
            <w:pPr>
              <w:suppressAutoHyphens/>
              <w:spacing w:line="288" w:lineRule="auto"/>
              <w:rPr>
                <w:rFonts w:cs="Times New Roman"/>
                <w:color w:val="0000FF"/>
                <w:u w:val="single"/>
                <w:lang w:val="en-GB"/>
              </w:rPr>
            </w:pPr>
            <w:hyperlink r:id="rId38" w:tooltip="link to the term &quot;Cultural institution&quot;" w:history="1">
              <w:r w:rsidR="00577D54" w:rsidRPr="006E3462">
                <w:rPr>
                  <w:rStyle w:val="Hipercze"/>
                  <w:lang w:val="en-GB"/>
                </w:rPr>
                <w:t>Cultural institution</w:t>
              </w:r>
            </w:hyperlink>
          </w:p>
        </w:tc>
      </w:tr>
    </w:tbl>
    <w:p w14:paraId="7C19EFAE" w14:textId="4AF5DC40" w:rsidR="00D261A2" w:rsidRPr="005244F4" w:rsidRDefault="00D261A2" w:rsidP="001F3471">
      <w:pPr>
        <w:rPr>
          <w:sz w:val="18"/>
        </w:rPr>
      </w:pPr>
    </w:p>
    <w:sectPr w:rsidR="00D261A2" w:rsidRPr="005244F4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2B571" w14:textId="77777777" w:rsidR="003E547B" w:rsidRDefault="003E547B" w:rsidP="000662E2">
      <w:pPr>
        <w:spacing w:after="0" w:line="240" w:lineRule="auto"/>
      </w:pPr>
      <w:r>
        <w:separator/>
      </w:r>
    </w:p>
    <w:p w14:paraId="2637BC3E" w14:textId="77777777" w:rsidR="003E547B" w:rsidRDefault="003E547B"/>
  </w:endnote>
  <w:endnote w:type="continuationSeparator" w:id="0">
    <w:p w14:paraId="2631FB4A" w14:textId="77777777" w:rsidR="003E547B" w:rsidRDefault="003E547B" w:rsidP="000662E2">
      <w:pPr>
        <w:spacing w:after="0" w:line="240" w:lineRule="auto"/>
      </w:pPr>
      <w:r>
        <w:continuationSeparator/>
      </w:r>
    </w:p>
    <w:p w14:paraId="6681FF33" w14:textId="77777777" w:rsidR="003E547B" w:rsidRDefault="003E54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FF3C55" w:rsidRDefault="00FF3C5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2BA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FF3C55" w:rsidRDefault="00FF3C5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2B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FF3C55" w:rsidRDefault="00FF3C5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2BA">
          <w:rPr>
            <w:noProof/>
          </w:rPr>
          <w:t>4</w:t>
        </w:r>
        <w:r>
          <w:fldChar w:fldCharType="end"/>
        </w:r>
      </w:p>
    </w:sdtContent>
  </w:sdt>
  <w:p w14:paraId="6648D235" w14:textId="77777777" w:rsidR="00430DDF" w:rsidRDefault="00430D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0168A" w14:textId="77777777" w:rsidR="003E547B" w:rsidRDefault="003E547B" w:rsidP="000662E2">
      <w:pPr>
        <w:spacing w:after="0" w:line="240" w:lineRule="auto"/>
      </w:pPr>
      <w:r>
        <w:separator/>
      </w:r>
    </w:p>
    <w:p w14:paraId="049D836E" w14:textId="77777777" w:rsidR="003E547B" w:rsidRDefault="003E547B"/>
  </w:footnote>
  <w:footnote w:type="continuationSeparator" w:id="0">
    <w:p w14:paraId="6DD88218" w14:textId="77777777" w:rsidR="003E547B" w:rsidRDefault="003E547B" w:rsidP="000662E2">
      <w:pPr>
        <w:spacing w:after="0" w:line="240" w:lineRule="auto"/>
      </w:pPr>
      <w:r>
        <w:continuationSeparator/>
      </w:r>
    </w:p>
    <w:p w14:paraId="2603BA92" w14:textId="77777777" w:rsidR="003E547B" w:rsidRDefault="003E54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FF3C55" w:rsidRDefault="00FF3C5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39024ED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277A" w14:textId="7702270D" w:rsidR="00FF3C55" w:rsidRDefault="00453F5C" w:rsidP="00596B64">
    <w:pPr>
      <w:pStyle w:val="Nagwek"/>
      <w:spacing w:before="240" w:after="40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8A110BD" wp14:editId="460BF59B">
          <wp:extent cx="1867489" cy="468000"/>
          <wp:effectExtent l="0" t="0" r="0" b="8255"/>
          <wp:docPr id="3" name="Obraz 3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F3C55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5F429476">
              <wp:simplePos x="0" y="0"/>
              <wp:positionH relativeFrom="column">
                <wp:posOffset>5287645</wp:posOffset>
              </wp:positionH>
              <wp:positionV relativeFrom="paragraph">
                <wp:posOffset>918072</wp:posOffset>
              </wp:positionV>
              <wp:extent cx="1432293" cy="336589"/>
              <wp:effectExtent l="0" t="0" r="0" b="6350"/>
              <wp:wrapNone/>
              <wp:docPr id="8" name="Pole tekstowe 2" descr="Publication data 12.12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17257D1B" w:rsidR="00FF3C55" w:rsidRPr="00A01B40" w:rsidRDefault="005B6D5B" w:rsidP="00F049AB">
                          <w:pPr>
                            <w:pStyle w:val="Datainformacjisygnalnej"/>
                          </w:pPr>
                          <w:r>
                            <w:t>12</w:t>
                          </w:r>
                          <w:r w:rsidR="00B22EDC">
                            <w:t>.</w:t>
                          </w:r>
                          <w:r w:rsidR="00C5102A">
                            <w:t>12</w:t>
                          </w:r>
                          <w: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ublication data 12.12.2024" style="position:absolute;margin-left:416.35pt;margin-top:72.3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" filled="f" stroked="f">
              <v:textbox>
                <w:txbxContent>
                  <w:p w14:paraId="71967FEA" w14:textId="17257D1B" w:rsidR="00FF3C55" w:rsidRPr="00A01B40" w:rsidRDefault="005B6D5B" w:rsidP="00F049AB">
                    <w:pPr>
                      <w:pStyle w:val="Datainformacjisygnalnej"/>
                    </w:pPr>
                    <w:r>
                      <w:t>12</w:t>
                    </w:r>
                    <w:r w:rsidR="00B22EDC">
                      <w:t>.</w:t>
                    </w:r>
                    <w:r w:rsidR="00C5102A">
                      <w:t>12</w:t>
                    </w:r>
                    <w:r>
                      <w:t>.2024</w:t>
                    </w:r>
                  </w:p>
                </w:txbxContent>
              </v:textbox>
            </v:shape>
          </w:pict>
        </mc:Fallback>
      </mc:AlternateContent>
    </w:r>
    <w:r w:rsidR="00FF3C55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2EAAC4C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CDBBBCA" w:rsidR="00FF3C55" w:rsidRPr="003C6C8D" w:rsidRDefault="00453F5C" w:rsidP="00453F5C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+1UgYAACc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VT8kW1Un6zoutrkDQyqrWevMleF4yLM8zFO8xAAgjkAMGqeAsfeUnhboS7To08tKHs05e+&#10;l+tBcwmzHtqCWHTp8T8uMSMeKn+uQY2ZBlNQEyKhLqZxEsIFM2dW5kx9Wb2kQBBoq7A7NZTrRdkN&#10;c0arD6BrPZWoMIXrDLChfQtoLPripYBrmAJlbEZOT9UYFKXA0rP6vMk6mWUDkb/ffcCsQXK49ASI&#10;LN/QTlh6o54EVt+slRWq6emloHkhpZWKmTqv7QWoURWVWuWslLua12rVjb735B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ngOvtVIGAAAn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CDBBBCA" w:rsidR="00FF3C55" w:rsidRPr="003C6C8D" w:rsidRDefault="00453F5C" w:rsidP="00453F5C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F3C5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0F08235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F166CF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FF3C55" w:rsidRDefault="00FF3C55">
    <w:pPr>
      <w:pStyle w:val="Nagwek"/>
    </w:pPr>
  </w:p>
  <w:p w14:paraId="0738E4E9" w14:textId="77777777" w:rsidR="00FF3C55" w:rsidRDefault="00FF3C55">
    <w:pPr>
      <w:pStyle w:val="Nagwek"/>
    </w:pPr>
  </w:p>
  <w:p w14:paraId="5849E034" w14:textId="77777777" w:rsidR="00430DDF" w:rsidRDefault="00430D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7" type="#_x0000_t75" style="width:122.25pt;height:122.25pt;visibility:visible;mso-wrap-style:square" o:bullet="t">
        <v:imagedata r:id="rId2" o:title=""/>
      </v:shape>
    </w:pict>
  </w:numPicBullet>
  <w:numPicBullet w:numPicBulletId="2">
    <w:pict>
      <v:shape id="_x0000_i1028" type="#_x0000_t75" style="width:21.75pt;height:21.75pt;visibility:visible;mso-wrap-style:square" o:bullet="t">
        <v:imagedata r:id="rId3" o:title=""/>
      </v:shape>
    </w:pict>
  </w:numPicBullet>
  <w:numPicBullet w:numPicBulletId="3">
    <w:pict>
      <v:shape id="_x0000_i1029" type="#_x0000_t75" style="width:21.75pt;height:21.75pt;visibility:visible;mso-wrap-style:square" o:bullet="t">
        <v:imagedata r:id="rId4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4397"/>
    <w:rsid w:val="0000709F"/>
    <w:rsid w:val="000108B8"/>
    <w:rsid w:val="00011852"/>
    <w:rsid w:val="00015104"/>
    <w:rsid w:val="000152F5"/>
    <w:rsid w:val="00021888"/>
    <w:rsid w:val="00032528"/>
    <w:rsid w:val="000363DB"/>
    <w:rsid w:val="0003736B"/>
    <w:rsid w:val="000435E3"/>
    <w:rsid w:val="0004567B"/>
    <w:rsid w:val="0004582E"/>
    <w:rsid w:val="000470AA"/>
    <w:rsid w:val="00054043"/>
    <w:rsid w:val="00054880"/>
    <w:rsid w:val="00057CA1"/>
    <w:rsid w:val="0006240D"/>
    <w:rsid w:val="000647A9"/>
    <w:rsid w:val="000662E2"/>
    <w:rsid w:val="000666CC"/>
    <w:rsid w:val="00066883"/>
    <w:rsid w:val="00071B39"/>
    <w:rsid w:val="00074DD8"/>
    <w:rsid w:val="00075759"/>
    <w:rsid w:val="00075BD4"/>
    <w:rsid w:val="00076D4D"/>
    <w:rsid w:val="000806F7"/>
    <w:rsid w:val="000906A6"/>
    <w:rsid w:val="00090EF1"/>
    <w:rsid w:val="00091DE9"/>
    <w:rsid w:val="00097840"/>
    <w:rsid w:val="000A0D1F"/>
    <w:rsid w:val="000A15EE"/>
    <w:rsid w:val="000A16FB"/>
    <w:rsid w:val="000A4F5D"/>
    <w:rsid w:val="000B0727"/>
    <w:rsid w:val="000B31D1"/>
    <w:rsid w:val="000C135D"/>
    <w:rsid w:val="000C64CF"/>
    <w:rsid w:val="000D1728"/>
    <w:rsid w:val="000D1D43"/>
    <w:rsid w:val="000D225C"/>
    <w:rsid w:val="000D2A5C"/>
    <w:rsid w:val="000D39F0"/>
    <w:rsid w:val="000E0918"/>
    <w:rsid w:val="000E79A9"/>
    <w:rsid w:val="000F15E1"/>
    <w:rsid w:val="000F2CF7"/>
    <w:rsid w:val="000F3BEB"/>
    <w:rsid w:val="000F3E3A"/>
    <w:rsid w:val="000F4D08"/>
    <w:rsid w:val="000F7573"/>
    <w:rsid w:val="00100E35"/>
    <w:rsid w:val="001011C3"/>
    <w:rsid w:val="00101260"/>
    <w:rsid w:val="00105824"/>
    <w:rsid w:val="00106DA3"/>
    <w:rsid w:val="00107103"/>
    <w:rsid w:val="00110214"/>
    <w:rsid w:val="00110D87"/>
    <w:rsid w:val="00111CF4"/>
    <w:rsid w:val="00111FA7"/>
    <w:rsid w:val="00112399"/>
    <w:rsid w:val="001134AB"/>
    <w:rsid w:val="00114DB9"/>
    <w:rsid w:val="00116087"/>
    <w:rsid w:val="00117711"/>
    <w:rsid w:val="00117E5B"/>
    <w:rsid w:val="001229F6"/>
    <w:rsid w:val="001254E8"/>
    <w:rsid w:val="00130296"/>
    <w:rsid w:val="00133E7B"/>
    <w:rsid w:val="00134145"/>
    <w:rsid w:val="00135834"/>
    <w:rsid w:val="0013595C"/>
    <w:rsid w:val="00136736"/>
    <w:rsid w:val="00136740"/>
    <w:rsid w:val="00136D67"/>
    <w:rsid w:val="00140537"/>
    <w:rsid w:val="001423B6"/>
    <w:rsid w:val="001448A7"/>
    <w:rsid w:val="00144A27"/>
    <w:rsid w:val="00146621"/>
    <w:rsid w:val="00152265"/>
    <w:rsid w:val="0015399E"/>
    <w:rsid w:val="00154897"/>
    <w:rsid w:val="00155D57"/>
    <w:rsid w:val="00157806"/>
    <w:rsid w:val="001617E3"/>
    <w:rsid w:val="00162325"/>
    <w:rsid w:val="0016688E"/>
    <w:rsid w:val="00166C94"/>
    <w:rsid w:val="00170590"/>
    <w:rsid w:val="00171091"/>
    <w:rsid w:val="00177251"/>
    <w:rsid w:val="00190BB7"/>
    <w:rsid w:val="0019410A"/>
    <w:rsid w:val="001951DA"/>
    <w:rsid w:val="001A096C"/>
    <w:rsid w:val="001A5E20"/>
    <w:rsid w:val="001B0463"/>
    <w:rsid w:val="001B053D"/>
    <w:rsid w:val="001B3078"/>
    <w:rsid w:val="001B3137"/>
    <w:rsid w:val="001C3269"/>
    <w:rsid w:val="001D19B6"/>
    <w:rsid w:val="001D1DB4"/>
    <w:rsid w:val="001D23F1"/>
    <w:rsid w:val="001D25F9"/>
    <w:rsid w:val="001D37F9"/>
    <w:rsid w:val="001D4D43"/>
    <w:rsid w:val="001D61ED"/>
    <w:rsid w:val="001E4E0E"/>
    <w:rsid w:val="001E5B2D"/>
    <w:rsid w:val="001E7758"/>
    <w:rsid w:val="001F3471"/>
    <w:rsid w:val="0020156C"/>
    <w:rsid w:val="00201973"/>
    <w:rsid w:val="00201F3E"/>
    <w:rsid w:val="00211394"/>
    <w:rsid w:val="00212E15"/>
    <w:rsid w:val="0021301C"/>
    <w:rsid w:val="00216634"/>
    <w:rsid w:val="0022604F"/>
    <w:rsid w:val="0023329E"/>
    <w:rsid w:val="00236EBB"/>
    <w:rsid w:val="00242D31"/>
    <w:rsid w:val="00245580"/>
    <w:rsid w:val="00253AB6"/>
    <w:rsid w:val="0025481E"/>
    <w:rsid w:val="002549B6"/>
    <w:rsid w:val="00255321"/>
    <w:rsid w:val="00255F5C"/>
    <w:rsid w:val="002574F9"/>
    <w:rsid w:val="00262B61"/>
    <w:rsid w:val="00262CC6"/>
    <w:rsid w:val="00263E08"/>
    <w:rsid w:val="00263E86"/>
    <w:rsid w:val="002668CE"/>
    <w:rsid w:val="002762FD"/>
    <w:rsid w:val="002766F6"/>
    <w:rsid w:val="00276811"/>
    <w:rsid w:val="00277492"/>
    <w:rsid w:val="00280907"/>
    <w:rsid w:val="00282699"/>
    <w:rsid w:val="002926DF"/>
    <w:rsid w:val="00294F01"/>
    <w:rsid w:val="00296697"/>
    <w:rsid w:val="002B0472"/>
    <w:rsid w:val="002B1BFD"/>
    <w:rsid w:val="002B4AB6"/>
    <w:rsid w:val="002B6B12"/>
    <w:rsid w:val="002B77C1"/>
    <w:rsid w:val="002C21F0"/>
    <w:rsid w:val="002C498A"/>
    <w:rsid w:val="002D015A"/>
    <w:rsid w:val="002D01DF"/>
    <w:rsid w:val="002E01E5"/>
    <w:rsid w:val="002E15E2"/>
    <w:rsid w:val="002E3EB3"/>
    <w:rsid w:val="002E45BC"/>
    <w:rsid w:val="002E6140"/>
    <w:rsid w:val="002E6985"/>
    <w:rsid w:val="002E71B6"/>
    <w:rsid w:val="002F35F6"/>
    <w:rsid w:val="002F4199"/>
    <w:rsid w:val="002F63A4"/>
    <w:rsid w:val="002F77C8"/>
    <w:rsid w:val="002F79CE"/>
    <w:rsid w:val="002F7CBF"/>
    <w:rsid w:val="0030079A"/>
    <w:rsid w:val="00300D09"/>
    <w:rsid w:val="00304F22"/>
    <w:rsid w:val="00305579"/>
    <w:rsid w:val="00306C7C"/>
    <w:rsid w:val="00313F5C"/>
    <w:rsid w:val="00314F86"/>
    <w:rsid w:val="00314F9F"/>
    <w:rsid w:val="0031756B"/>
    <w:rsid w:val="00317BFE"/>
    <w:rsid w:val="00317F4D"/>
    <w:rsid w:val="00320133"/>
    <w:rsid w:val="00322EDD"/>
    <w:rsid w:val="003245DF"/>
    <w:rsid w:val="0033065C"/>
    <w:rsid w:val="003309FA"/>
    <w:rsid w:val="00330B9D"/>
    <w:rsid w:val="00331135"/>
    <w:rsid w:val="00332320"/>
    <w:rsid w:val="00337EB0"/>
    <w:rsid w:val="00340F5D"/>
    <w:rsid w:val="00342815"/>
    <w:rsid w:val="00342E2B"/>
    <w:rsid w:val="00343A5C"/>
    <w:rsid w:val="0034517E"/>
    <w:rsid w:val="00347D72"/>
    <w:rsid w:val="00353F45"/>
    <w:rsid w:val="00357611"/>
    <w:rsid w:val="00361EC3"/>
    <w:rsid w:val="0036432A"/>
    <w:rsid w:val="00364ABA"/>
    <w:rsid w:val="00364AF9"/>
    <w:rsid w:val="00367237"/>
    <w:rsid w:val="0037077F"/>
    <w:rsid w:val="00372411"/>
    <w:rsid w:val="00373882"/>
    <w:rsid w:val="003767FF"/>
    <w:rsid w:val="00382596"/>
    <w:rsid w:val="003826FB"/>
    <w:rsid w:val="003843DB"/>
    <w:rsid w:val="0038512C"/>
    <w:rsid w:val="003907AE"/>
    <w:rsid w:val="00392509"/>
    <w:rsid w:val="00393761"/>
    <w:rsid w:val="003937A5"/>
    <w:rsid w:val="00394E26"/>
    <w:rsid w:val="00396691"/>
    <w:rsid w:val="00397D18"/>
    <w:rsid w:val="003A1B36"/>
    <w:rsid w:val="003B1454"/>
    <w:rsid w:val="003B18B6"/>
    <w:rsid w:val="003B3067"/>
    <w:rsid w:val="003B351D"/>
    <w:rsid w:val="003C161B"/>
    <w:rsid w:val="003C53A4"/>
    <w:rsid w:val="003C5502"/>
    <w:rsid w:val="003C59E0"/>
    <w:rsid w:val="003C6C8D"/>
    <w:rsid w:val="003D0BCA"/>
    <w:rsid w:val="003D1879"/>
    <w:rsid w:val="003D1EB7"/>
    <w:rsid w:val="003D2656"/>
    <w:rsid w:val="003D3607"/>
    <w:rsid w:val="003D4F95"/>
    <w:rsid w:val="003D5F42"/>
    <w:rsid w:val="003D60A9"/>
    <w:rsid w:val="003E2314"/>
    <w:rsid w:val="003E4367"/>
    <w:rsid w:val="003E547B"/>
    <w:rsid w:val="003F0BD9"/>
    <w:rsid w:val="003F3096"/>
    <w:rsid w:val="003F4C97"/>
    <w:rsid w:val="003F6614"/>
    <w:rsid w:val="003F666D"/>
    <w:rsid w:val="003F7FE6"/>
    <w:rsid w:val="00400193"/>
    <w:rsid w:val="00410699"/>
    <w:rsid w:val="00413661"/>
    <w:rsid w:val="00414427"/>
    <w:rsid w:val="00416EAF"/>
    <w:rsid w:val="004212E7"/>
    <w:rsid w:val="00422637"/>
    <w:rsid w:val="00423C88"/>
    <w:rsid w:val="0042446D"/>
    <w:rsid w:val="00427BF8"/>
    <w:rsid w:val="00430DDF"/>
    <w:rsid w:val="00431C02"/>
    <w:rsid w:val="004334AC"/>
    <w:rsid w:val="004350AB"/>
    <w:rsid w:val="00436051"/>
    <w:rsid w:val="00436C73"/>
    <w:rsid w:val="00437395"/>
    <w:rsid w:val="00440278"/>
    <w:rsid w:val="0044177D"/>
    <w:rsid w:val="00445047"/>
    <w:rsid w:val="00446749"/>
    <w:rsid w:val="00453E97"/>
    <w:rsid w:val="00453EB7"/>
    <w:rsid w:val="00453F5C"/>
    <w:rsid w:val="00463E39"/>
    <w:rsid w:val="004657FC"/>
    <w:rsid w:val="00467C13"/>
    <w:rsid w:val="004733F6"/>
    <w:rsid w:val="00474E69"/>
    <w:rsid w:val="00483E9F"/>
    <w:rsid w:val="00485A2C"/>
    <w:rsid w:val="00491C8D"/>
    <w:rsid w:val="00493816"/>
    <w:rsid w:val="0049621B"/>
    <w:rsid w:val="004A0728"/>
    <w:rsid w:val="004A1C5A"/>
    <w:rsid w:val="004A1D19"/>
    <w:rsid w:val="004B14A6"/>
    <w:rsid w:val="004B3859"/>
    <w:rsid w:val="004B4292"/>
    <w:rsid w:val="004B6101"/>
    <w:rsid w:val="004B698D"/>
    <w:rsid w:val="004C1895"/>
    <w:rsid w:val="004C2930"/>
    <w:rsid w:val="004C6D40"/>
    <w:rsid w:val="004E6AA8"/>
    <w:rsid w:val="004F0653"/>
    <w:rsid w:val="004F0C3C"/>
    <w:rsid w:val="004F2280"/>
    <w:rsid w:val="004F23BB"/>
    <w:rsid w:val="004F63FC"/>
    <w:rsid w:val="004F6BA6"/>
    <w:rsid w:val="00502E64"/>
    <w:rsid w:val="00505A92"/>
    <w:rsid w:val="005067D4"/>
    <w:rsid w:val="00512632"/>
    <w:rsid w:val="00516F3A"/>
    <w:rsid w:val="0051766D"/>
    <w:rsid w:val="005203F1"/>
    <w:rsid w:val="00521A0B"/>
    <w:rsid w:val="00521BC3"/>
    <w:rsid w:val="00521D4E"/>
    <w:rsid w:val="005244F4"/>
    <w:rsid w:val="00531873"/>
    <w:rsid w:val="00533632"/>
    <w:rsid w:val="00533ADF"/>
    <w:rsid w:val="00534013"/>
    <w:rsid w:val="00540C5C"/>
    <w:rsid w:val="0054189E"/>
    <w:rsid w:val="00541E6E"/>
    <w:rsid w:val="0054251F"/>
    <w:rsid w:val="00542D04"/>
    <w:rsid w:val="005435B9"/>
    <w:rsid w:val="005520D8"/>
    <w:rsid w:val="00553507"/>
    <w:rsid w:val="00555CFB"/>
    <w:rsid w:val="00556ADB"/>
    <w:rsid w:val="00556CF1"/>
    <w:rsid w:val="00561ABB"/>
    <w:rsid w:val="00561C66"/>
    <w:rsid w:val="00562937"/>
    <w:rsid w:val="00562E4A"/>
    <w:rsid w:val="00563AD0"/>
    <w:rsid w:val="005762A7"/>
    <w:rsid w:val="00577525"/>
    <w:rsid w:val="00577D54"/>
    <w:rsid w:val="00584F5F"/>
    <w:rsid w:val="005866C1"/>
    <w:rsid w:val="00587CEE"/>
    <w:rsid w:val="00587F88"/>
    <w:rsid w:val="0059096F"/>
    <w:rsid w:val="0059139A"/>
    <w:rsid w:val="005916D7"/>
    <w:rsid w:val="0059427F"/>
    <w:rsid w:val="00596B64"/>
    <w:rsid w:val="005973B7"/>
    <w:rsid w:val="005A2FE1"/>
    <w:rsid w:val="005A698C"/>
    <w:rsid w:val="005B3A15"/>
    <w:rsid w:val="005B435F"/>
    <w:rsid w:val="005B53C9"/>
    <w:rsid w:val="005B6D5B"/>
    <w:rsid w:val="005C0CAC"/>
    <w:rsid w:val="005D062E"/>
    <w:rsid w:val="005D2F6B"/>
    <w:rsid w:val="005D334E"/>
    <w:rsid w:val="005D6B6C"/>
    <w:rsid w:val="005E0799"/>
    <w:rsid w:val="005E10F9"/>
    <w:rsid w:val="005E1200"/>
    <w:rsid w:val="005E13F3"/>
    <w:rsid w:val="005F42D7"/>
    <w:rsid w:val="005F45EE"/>
    <w:rsid w:val="005F5A80"/>
    <w:rsid w:val="005F7611"/>
    <w:rsid w:val="0060415C"/>
    <w:rsid w:val="006044FF"/>
    <w:rsid w:val="006073EB"/>
    <w:rsid w:val="00607CC5"/>
    <w:rsid w:val="0061179B"/>
    <w:rsid w:val="006125F9"/>
    <w:rsid w:val="00614765"/>
    <w:rsid w:val="00615811"/>
    <w:rsid w:val="00616BF9"/>
    <w:rsid w:val="00620C80"/>
    <w:rsid w:val="00633014"/>
    <w:rsid w:val="0063437B"/>
    <w:rsid w:val="0063660D"/>
    <w:rsid w:val="006368F9"/>
    <w:rsid w:val="0064017E"/>
    <w:rsid w:val="0064035A"/>
    <w:rsid w:val="006454AC"/>
    <w:rsid w:val="00646BD5"/>
    <w:rsid w:val="00654BB6"/>
    <w:rsid w:val="006601AB"/>
    <w:rsid w:val="00666A9E"/>
    <w:rsid w:val="006673CA"/>
    <w:rsid w:val="006679B7"/>
    <w:rsid w:val="00673C26"/>
    <w:rsid w:val="00674DE5"/>
    <w:rsid w:val="00675B75"/>
    <w:rsid w:val="00677ACA"/>
    <w:rsid w:val="006812AF"/>
    <w:rsid w:val="0068327D"/>
    <w:rsid w:val="00687CD5"/>
    <w:rsid w:val="00690D88"/>
    <w:rsid w:val="00691534"/>
    <w:rsid w:val="00692FCF"/>
    <w:rsid w:val="00693880"/>
    <w:rsid w:val="0069472D"/>
    <w:rsid w:val="00694AF0"/>
    <w:rsid w:val="00694BE0"/>
    <w:rsid w:val="006A2783"/>
    <w:rsid w:val="006A4686"/>
    <w:rsid w:val="006A646B"/>
    <w:rsid w:val="006B0B8B"/>
    <w:rsid w:val="006B0E9E"/>
    <w:rsid w:val="006B486D"/>
    <w:rsid w:val="006B5AE4"/>
    <w:rsid w:val="006B6521"/>
    <w:rsid w:val="006B71F6"/>
    <w:rsid w:val="006D1507"/>
    <w:rsid w:val="006D1608"/>
    <w:rsid w:val="006D25FB"/>
    <w:rsid w:val="006D4054"/>
    <w:rsid w:val="006D4760"/>
    <w:rsid w:val="006D7409"/>
    <w:rsid w:val="006E02EC"/>
    <w:rsid w:val="006E044B"/>
    <w:rsid w:val="006E3C4F"/>
    <w:rsid w:val="006E6F41"/>
    <w:rsid w:val="006E73E6"/>
    <w:rsid w:val="006E7A9A"/>
    <w:rsid w:val="006F15AF"/>
    <w:rsid w:val="006F26A3"/>
    <w:rsid w:val="006F67D7"/>
    <w:rsid w:val="0070005D"/>
    <w:rsid w:val="00701D9E"/>
    <w:rsid w:val="00710E54"/>
    <w:rsid w:val="00720ABC"/>
    <w:rsid w:val="007211B1"/>
    <w:rsid w:val="007277DA"/>
    <w:rsid w:val="00727BB9"/>
    <w:rsid w:val="0073102F"/>
    <w:rsid w:val="00731D27"/>
    <w:rsid w:val="007357EB"/>
    <w:rsid w:val="00736356"/>
    <w:rsid w:val="00736773"/>
    <w:rsid w:val="007378E4"/>
    <w:rsid w:val="0074072D"/>
    <w:rsid w:val="0074384F"/>
    <w:rsid w:val="00744C90"/>
    <w:rsid w:val="00746187"/>
    <w:rsid w:val="0075314A"/>
    <w:rsid w:val="00761D27"/>
    <w:rsid w:val="0076254F"/>
    <w:rsid w:val="007657D0"/>
    <w:rsid w:val="00774288"/>
    <w:rsid w:val="00777172"/>
    <w:rsid w:val="00777C44"/>
    <w:rsid w:val="007801F5"/>
    <w:rsid w:val="00782F3A"/>
    <w:rsid w:val="00783CA4"/>
    <w:rsid w:val="007842FB"/>
    <w:rsid w:val="00784DD2"/>
    <w:rsid w:val="00786124"/>
    <w:rsid w:val="00786F03"/>
    <w:rsid w:val="00793868"/>
    <w:rsid w:val="00794F16"/>
    <w:rsid w:val="0079514B"/>
    <w:rsid w:val="00795252"/>
    <w:rsid w:val="007969FE"/>
    <w:rsid w:val="007A2DC1"/>
    <w:rsid w:val="007A3289"/>
    <w:rsid w:val="007A453C"/>
    <w:rsid w:val="007A6DC9"/>
    <w:rsid w:val="007B44DE"/>
    <w:rsid w:val="007B5A7E"/>
    <w:rsid w:val="007B699C"/>
    <w:rsid w:val="007C52C7"/>
    <w:rsid w:val="007D0869"/>
    <w:rsid w:val="007D1033"/>
    <w:rsid w:val="007D14C4"/>
    <w:rsid w:val="007D3319"/>
    <w:rsid w:val="007D335D"/>
    <w:rsid w:val="007D605C"/>
    <w:rsid w:val="007D6808"/>
    <w:rsid w:val="007D68D7"/>
    <w:rsid w:val="007E3314"/>
    <w:rsid w:val="007E3514"/>
    <w:rsid w:val="007E4B03"/>
    <w:rsid w:val="007E6BE4"/>
    <w:rsid w:val="007F2048"/>
    <w:rsid w:val="007F324B"/>
    <w:rsid w:val="007F5B7F"/>
    <w:rsid w:val="007F6C7B"/>
    <w:rsid w:val="00800778"/>
    <w:rsid w:val="00803CF4"/>
    <w:rsid w:val="0080553C"/>
    <w:rsid w:val="00805625"/>
    <w:rsid w:val="00805B46"/>
    <w:rsid w:val="00805DB4"/>
    <w:rsid w:val="0080730F"/>
    <w:rsid w:val="00815D44"/>
    <w:rsid w:val="00816C1B"/>
    <w:rsid w:val="00823593"/>
    <w:rsid w:val="00825DC2"/>
    <w:rsid w:val="00834AD3"/>
    <w:rsid w:val="00843795"/>
    <w:rsid w:val="00847F0F"/>
    <w:rsid w:val="00852448"/>
    <w:rsid w:val="0086341A"/>
    <w:rsid w:val="00873B4B"/>
    <w:rsid w:val="00873B69"/>
    <w:rsid w:val="00877F6C"/>
    <w:rsid w:val="0088258A"/>
    <w:rsid w:val="00884F6F"/>
    <w:rsid w:val="00886332"/>
    <w:rsid w:val="00886362"/>
    <w:rsid w:val="00887BF0"/>
    <w:rsid w:val="008925F0"/>
    <w:rsid w:val="00892DE7"/>
    <w:rsid w:val="008938CA"/>
    <w:rsid w:val="0089448A"/>
    <w:rsid w:val="00897864"/>
    <w:rsid w:val="00897877"/>
    <w:rsid w:val="008A185D"/>
    <w:rsid w:val="008A1F95"/>
    <w:rsid w:val="008A26D9"/>
    <w:rsid w:val="008A55B0"/>
    <w:rsid w:val="008A5E7E"/>
    <w:rsid w:val="008A78C8"/>
    <w:rsid w:val="008A7B5B"/>
    <w:rsid w:val="008B12D2"/>
    <w:rsid w:val="008B7952"/>
    <w:rsid w:val="008C0C29"/>
    <w:rsid w:val="008C697D"/>
    <w:rsid w:val="008D02DA"/>
    <w:rsid w:val="008D76BC"/>
    <w:rsid w:val="008E68AE"/>
    <w:rsid w:val="008E7DBA"/>
    <w:rsid w:val="008F05BC"/>
    <w:rsid w:val="008F0829"/>
    <w:rsid w:val="008F0CFA"/>
    <w:rsid w:val="008F0DE1"/>
    <w:rsid w:val="008F2C99"/>
    <w:rsid w:val="008F3638"/>
    <w:rsid w:val="008F4441"/>
    <w:rsid w:val="008F63E7"/>
    <w:rsid w:val="008F6B20"/>
    <w:rsid w:val="008F6F31"/>
    <w:rsid w:val="008F74DF"/>
    <w:rsid w:val="00902274"/>
    <w:rsid w:val="00902A79"/>
    <w:rsid w:val="009074D6"/>
    <w:rsid w:val="00911A53"/>
    <w:rsid w:val="009127BA"/>
    <w:rsid w:val="00913A17"/>
    <w:rsid w:val="00920AAE"/>
    <w:rsid w:val="009227A6"/>
    <w:rsid w:val="00933EC1"/>
    <w:rsid w:val="00940B62"/>
    <w:rsid w:val="0094336F"/>
    <w:rsid w:val="009446AD"/>
    <w:rsid w:val="00946F9A"/>
    <w:rsid w:val="009506A5"/>
    <w:rsid w:val="009530DB"/>
    <w:rsid w:val="00953676"/>
    <w:rsid w:val="00954BF5"/>
    <w:rsid w:val="00955899"/>
    <w:rsid w:val="00956F30"/>
    <w:rsid w:val="009664F7"/>
    <w:rsid w:val="00966C9A"/>
    <w:rsid w:val="00967527"/>
    <w:rsid w:val="009705EE"/>
    <w:rsid w:val="00971D1F"/>
    <w:rsid w:val="00974547"/>
    <w:rsid w:val="00976759"/>
    <w:rsid w:val="00977927"/>
    <w:rsid w:val="0098135C"/>
    <w:rsid w:val="0098156A"/>
    <w:rsid w:val="009827A6"/>
    <w:rsid w:val="00982F0D"/>
    <w:rsid w:val="00990F15"/>
    <w:rsid w:val="00991BAC"/>
    <w:rsid w:val="00991C5C"/>
    <w:rsid w:val="009938C5"/>
    <w:rsid w:val="00993D34"/>
    <w:rsid w:val="00997E91"/>
    <w:rsid w:val="009A0432"/>
    <w:rsid w:val="009A04B4"/>
    <w:rsid w:val="009A12B7"/>
    <w:rsid w:val="009A6EA0"/>
    <w:rsid w:val="009B2A4A"/>
    <w:rsid w:val="009B3F58"/>
    <w:rsid w:val="009B77DB"/>
    <w:rsid w:val="009C0123"/>
    <w:rsid w:val="009C1335"/>
    <w:rsid w:val="009C1AB2"/>
    <w:rsid w:val="009C3374"/>
    <w:rsid w:val="009C67B1"/>
    <w:rsid w:val="009C7251"/>
    <w:rsid w:val="009D0892"/>
    <w:rsid w:val="009E2E91"/>
    <w:rsid w:val="009F2C1F"/>
    <w:rsid w:val="009F4F33"/>
    <w:rsid w:val="00A01B40"/>
    <w:rsid w:val="00A021A4"/>
    <w:rsid w:val="00A022CA"/>
    <w:rsid w:val="00A06F18"/>
    <w:rsid w:val="00A0756F"/>
    <w:rsid w:val="00A11ADB"/>
    <w:rsid w:val="00A139F5"/>
    <w:rsid w:val="00A1797F"/>
    <w:rsid w:val="00A217E1"/>
    <w:rsid w:val="00A23A49"/>
    <w:rsid w:val="00A25D89"/>
    <w:rsid w:val="00A32458"/>
    <w:rsid w:val="00A32E16"/>
    <w:rsid w:val="00A365F4"/>
    <w:rsid w:val="00A4226B"/>
    <w:rsid w:val="00A427AF"/>
    <w:rsid w:val="00A44BD5"/>
    <w:rsid w:val="00A460CD"/>
    <w:rsid w:val="00A479E5"/>
    <w:rsid w:val="00A47D80"/>
    <w:rsid w:val="00A53132"/>
    <w:rsid w:val="00A563F2"/>
    <w:rsid w:val="00A566E8"/>
    <w:rsid w:val="00A61BBA"/>
    <w:rsid w:val="00A66347"/>
    <w:rsid w:val="00A72C90"/>
    <w:rsid w:val="00A72FC9"/>
    <w:rsid w:val="00A80D12"/>
    <w:rsid w:val="00A810F9"/>
    <w:rsid w:val="00A82D31"/>
    <w:rsid w:val="00A84C67"/>
    <w:rsid w:val="00A85E7E"/>
    <w:rsid w:val="00A86ECC"/>
    <w:rsid w:val="00A86FCC"/>
    <w:rsid w:val="00A90A6D"/>
    <w:rsid w:val="00A916CA"/>
    <w:rsid w:val="00A92B87"/>
    <w:rsid w:val="00A94EBE"/>
    <w:rsid w:val="00A95761"/>
    <w:rsid w:val="00A971E5"/>
    <w:rsid w:val="00AA0F1C"/>
    <w:rsid w:val="00AA710D"/>
    <w:rsid w:val="00AB1F20"/>
    <w:rsid w:val="00AB3602"/>
    <w:rsid w:val="00AB3E36"/>
    <w:rsid w:val="00AB64F3"/>
    <w:rsid w:val="00AB6D25"/>
    <w:rsid w:val="00AC1A5F"/>
    <w:rsid w:val="00AC60D9"/>
    <w:rsid w:val="00AC65FF"/>
    <w:rsid w:val="00AD0E56"/>
    <w:rsid w:val="00AD3B19"/>
    <w:rsid w:val="00AD4BFC"/>
    <w:rsid w:val="00AD6696"/>
    <w:rsid w:val="00AE229B"/>
    <w:rsid w:val="00AE2D4B"/>
    <w:rsid w:val="00AE432C"/>
    <w:rsid w:val="00AE4F99"/>
    <w:rsid w:val="00AF3C98"/>
    <w:rsid w:val="00AF423E"/>
    <w:rsid w:val="00B04720"/>
    <w:rsid w:val="00B11B69"/>
    <w:rsid w:val="00B13D04"/>
    <w:rsid w:val="00B14952"/>
    <w:rsid w:val="00B16871"/>
    <w:rsid w:val="00B2020D"/>
    <w:rsid w:val="00B22B45"/>
    <w:rsid w:val="00B22EDC"/>
    <w:rsid w:val="00B23D3B"/>
    <w:rsid w:val="00B25B45"/>
    <w:rsid w:val="00B3120F"/>
    <w:rsid w:val="00B31E5A"/>
    <w:rsid w:val="00B32B46"/>
    <w:rsid w:val="00B45A2A"/>
    <w:rsid w:val="00B47359"/>
    <w:rsid w:val="00B51257"/>
    <w:rsid w:val="00B64070"/>
    <w:rsid w:val="00B653AB"/>
    <w:rsid w:val="00B65F9E"/>
    <w:rsid w:val="00B66B19"/>
    <w:rsid w:val="00B70CE2"/>
    <w:rsid w:val="00B71280"/>
    <w:rsid w:val="00B719E9"/>
    <w:rsid w:val="00B7386E"/>
    <w:rsid w:val="00B75034"/>
    <w:rsid w:val="00B81652"/>
    <w:rsid w:val="00B84C43"/>
    <w:rsid w:val="00B85CF1"/>
    <w:rsid w:val="00B87CC3"/>
    <w:rsid w:val="00B910CD"/>
    <w:rsid w:val="00B914E9"/>
    <w:rsid w:val="00B956EE"/>
    <w:rsid w:val="00B97618"/>
    <w:rsid w:val="00BA2BA1"/>
    <w:rsid w:val="00BA3447"/>
    <w:rsid w:val="00BA3562"/>
    <w:rsid w:val="00BB4F09"/>
    <w:rsid w:val="00BB54B5"/>
    <w:rsid w:val="00BC50AD"/>
    <w:rsid w:val="00BD4E33"/>
    <w:rsid w:val="00BD6333"/>
    <w:rsid w:val="00BE0340"/>
    <w:rsid w:val="00BE0DB8"/>
    <w:rsid w:val="00BE7990"/>
    <w:rsid w:val="00BF3AA6"/>
    <w:rsid w:val="00BF7337"/>
    <w:rsid w:val="00C030DE"/>
    <w:rsid w:val="00C04B57"/>
    <w:rsid w:val="00C051A8"/>
    <w:rsid w:val="00C12171"/>
    <w:rsid w:val="00C127F6"/>
    <w:rsid w:val="00C177A5"/>
    <w:rsid w:val="00C202F8"/>
    <w:rsid w:val="00C20BC1"/>
    <w:rsid w:val="00C20C85"/>
    <w:rsid w:val="00C22105"/>
    <w:rsid w:val="00C244B6"/>
    <w:rsid w:val="00C27BF1"/>
    <w:rsid w:val="00C310E6"/>
    <w:rsid w:val="00C341C5"/>
    <w:rsid w:val="00C3702F"/>
    <w:rsid w:val="00C3719F"/>
    <w:rsid w:val="00C4500A"/>
    <w:rsid w:val="00C5102A"/>
    <w:rsid w:val="00C5289D"/>
    <w:rsid w:val="00C62238"/>
    <w:rsid w:val="00C64A37"/>
    <w:rsid w:val="00C66022"/>
    <w:rsid w:val="00C7158E"/>
    <w:rsid w:val="00C7250B"/>
    <w:rsid w:val="00C725D5"/>
    <w:rsid w:val="00C7346B"/>
    <w:rsid w:val="00C77067"/>
    <w:rsid w:val="00C77C0E"/>
    <w:rsid w:val="00C83801"/>
    <w:rsid w:val="00C85DEE"/>
    <w:rsid w:val="00C91687"/>
    <w:rsid w:val="00C91E05"/>
    <w:rsid w:val="00C924A8"/>
    <w:rsid w:val="00C94453"/>
    <w:rsid w:val="00C945FE"/>
    <w:rsid w:val="00C96FAA"/>
    <w:rsid w:val="00C97A04"/>
    <w:rsid w:val="00CA107B"/>
    <w:rsid w:val="00CA2619"/>
    <w:rsid w:val="00CA484D"/>
    <w:rsid w:val="00CA4FB6"/>
    <w:rsid w:val="00CA78C3"/>
    <w:rsid w:val="00CB0046"/>
    <w:rsid w:val="00CB0BC5"/>
    <w:rsid w:val="00CB0D45"/>
    <w:rsid w:val="00CB2F90"/>
    <w:rsid w:val="00CB4F9D"/>
    <w:rsid w:val="00CB6AD4"/>
    <w:rsid w:val="00CB6DA6"/>
    <w:rsid w:val="00CC2271"/>
    <w:rsid w:val="00CC22C6"/>
    <w:rsid w:val="00CC739E"/>
    <w:rsid w:val="00CD1EBB"/>
    <w:rsid w:val="00CD28CF"/>
    <w:rsid w:val="00CD3085"/>
    <w:rsid w:val="00CD58B7"/>
    <w:rsid w:val="00CD7967"/>
    <w:rsid w:val="00CE6A09"/>
    <w:rsid w:val="00CF18EE"/>
    <w:rsid w:val="00CF30BD"/>
    <w:rsid w:val="00CF4099"/>
    <w:rsid w:val="00D00796"/>
    <w:rsid w:val="00D16FA6"/>
    <w:rsid w:val="00D261A2"/>
    <w:rsid w:val="00D3064F"/>
    <w:rsid w:val="00D368A3"/>
    <w:rsid w:val="00D520C9"/>
    <w:rsid w:val="00D55DE8"/>
    <w:rsid w:val="00D57A14"/>
    <w:rsid w:val="00D616D2"/>
    <w:rsid w:val="00D638EF"/>
    <w:rsid w:val="00D63B5F"/>
    <w:rsid w:val="00D6460A"/>
    <w:rsid w:val="00D67D98"/>
    <w:rsid w:val="00D70EF7"/>
    <w:rsid w:val="00D71BE1"/>
    <w:rsid w:val="00D76DFE"/>
    <w:rsid w:val="00D8397C"/>
    <w:rsid w:val="00D8696E"/>
    <w:rsid w:val="00D92D2B"/>
    <w:rsid w:val="00D94EED"/>
    <w:rsid w:val="00D96026"/>
    <w:rsid w:val="00D972F6"/>
    <w:rsid w:val="00DA2DFA"/>
    <w:rsid w:val="00DA331D"/>
    <w:rsid w:val="00DA48E2"/>
    <w:rsid w:val="00DA7C1C"/>
    <w:rsid w:val="00DB147A"/>
    <w:rsid w:val="00DB1B7A"/>
    <w:rsid w:val="00DB706E"/>
    <w:rsid w:val="00DB71A8"/>
    <w:rsid w:val="00DC48EF"/>
    <w:rsid w:val="00DC66EB"/>
    <w:rsid w:val="00DC6708"/>
    <w:rsid w:val="00DD00FF"/>
    <w:rsid w:val="00DD011A"/>
    <w:rsid w:val="00DD23C1"/>
    <w:rsid w:val="00DD3B49"/>
    <w:rsid w:val="00DD5739"/>
    <w:rsid w:val="00DE2400"/>
    <w:rsid w:val="00DE58F1"/>
    <w:rsid w:val="00DE6B58"/>
    <w:rsid w:val="00DF0BC9"/>
    <w:rsid w:val="00DF498E"/>
    <w:rsid w:val="00DF5E32"/>
    <w:rsid w:val="00E01436"/>
    <w:rsid w:val="00E03E79"/>
    <w:rsid w:val="00E045BD"/>
    <w:rsid w:val="00E04D6C"/>
    <w:rsid w:val="00E16C4D"/>
    <w:rsid w:val="00E17A92"/>
    <w:rsid w:val="00E17B77"/>
    <w:rsid w:val="00E21DAC"/>
    <w:rsid w:val="00E21E00"/>
    <w:rsid w:val="00E231AB"/>
    <w:rsid w:val="00E23337"/>
    <w:rsid w:val="00E259EA"/>
    <w:rsid w:val="00E25D33"/>
    <w:rsid w:val="00E2752C"/>
    <w:rsid w:val="00E32054"/>
    <w:rsid w:val="00E32061"/>
    <w:rsid w:val="00E33F48"/>
    <w:rsid w:val="00E42FF9"/>
    <w:rsid w:val="00E43806"/>
    <w:rsid w:val="00E43A7E"/>
    <w:rsid w:val="00E44790"/>
    <w:rsid w:val="00E4714C"/>
    <w:rsid w:val="00E50FC5"/>
    <w:rsid w:val="00E5178D"/>
    <w:rsid w:val="00E51AEB"/>
    <w:rsid w:val="00E522A7"/>
    <w:rsid w:val="00E5306D"/>
    <w:rsid w:val="00E5349E"/>
    <w:rsid w:val="00E54452"/>
    <w:rsid w:val="00E63B0C"/>
    <w:rsid w:val="00E664C5"/>
    <w:rsid w:val="00E671A2"/>
    <w:rsid w:val="00E71BF2"/>
    <w:rsid w:val="00E74412"/>
    <w:rsid w:val="00E7487B"/>
    <w:rsid w:val="00E76D26"/>
    <w:rsid w:val="00E76EE5"/>
    <w:rsid w:val="00E77109"/>
    <w:rsid w:val="00E77D2D"/>
    <w:rsid w:val="00E83ABE"/>
    <w:rsid w:val="00E853B7"/>
    <w:rsid w:val="00E86C0A"/>
    <w:rsid w:val="00E93BCF"/>
    <w:rsid w:val="00E95036"/>
    <w:rsid w:val="00E95B8E"/>
    <w:rsid w:val="00E96C3B"/>
    <w:rsid w:val="00EA2F77"/>
    <w:rsid w:val="00EB1390"/>
    <w:rsid w:val="00EB2C71"/>
    <w:rsid w:val="00EB3333"/>
    <w:rsid w:val="00EB4340"/>
    <w:rsid w:val="00EB556D"/>
    <w:rsid w:val="00EB5A7D"/>
    <w:rsid w:val="00EC03A5"/>
    <w:rsid w:val="00EC6DB6"/>
    <w:rsid w:val="00EC787E"/>
    <w:rsid w:val="00ED3FF9"/>
    <w:rsid w:val="00ED4769"/>
    <w:rsid w:val="00ED55C0"/>
    <w:rsid w:val="00ED682B"/>
    <w:rsid w:val="00EE0A4E"/>
    <w:rsid w:val="00EE129D"/>
    <w:rsid w:val="00EE41D5"/>
    <w:rsid w:val="00F0166F"/>
    <w:rsid w:val="00F029BF"/>
    <w:rsid w:val="00F02D17"/>
    <w:rsid w:val="00F037A4"/>
    <w:rsid w:val="00F03D62"/>
    <w:rsid w:val="00F049AB"/>
    <w:rsid w:val="00F142DB"/>
    <w:rsid w:val="00F17117"/>
    <w:rsid w:val="00F27C8F"/>
    <w:rsid w:val="00F32749"/>
    <w:rsid w:val="00F36501"/>
    <w:rsid w:val="00F37172"/>
    <w:rsid w:val="00F37727"/>
    <w:rsid w:val="00F40C24"/>
    <w:rsid w:val="00F4477E"/>
    <w:rsid w:val="00F4516E"/>
    <w:rsid w:val="00F46269"/>
    <w:rsid w:val="00F53EB4"/>
    <w:rsid w:val="00F60340"/>
    <w:rsid w:val="00F60BA8"/>
    <w:rsid w:val="00F6121B"/>
    <w:rsid w:val="00F613AA"/>
    <w:rsid w:val="00F65A5A"/>
    <w:rsid w:val="00F67D8F"/>
    <w:rsid w:val="00F71A42"/>
    <w:rsid w:val="00F7245F"/>
    <w:rsid w:val="00F76B9A"/>
    <w:rsid w:val="00F770AA"/>
    <w:rsid w:val="00F802BE"/>
    <w:rsid w:val="00F80E93"/>
    <w:rsid w:val="00F86024"/>
    <w:rsid w:val="00F8611A"/>
    <w:rsid w:val="00F87657"/>
    <w:rsid w:val="00F87A56"/>
    <w:rsid w:val="00F87B35"/>
    <w:rsid w:val="00F90208"/>
    <w:rsid w:val="00F932FD"/>
    <w:rsid w:val="00F94B03"/>
    <w:rsid w:val="00F95A9E"/>
    <w:rsid w:val="00F97F12"/>
    <w:rsid w:val="00FA198B"/>
    <w:rsid w:val="00FA1D15"/>
    <w:rsid w:val="00FA3E6A"/>
    <w:rsid w:val="00FA5128"/>
    <w:rsid w:val="00FB42D4"/>
    <w:rsid w:val="00FB5906"/>
    <w:rsid w:val="00FB7150"/>
    <w:rsid w:val="00FB762F"/>
    <w:rsid w:val="00FC10F2"/>
    <w:rsid w:val="00FC2AED"/>
    <w:rsid w:val="00FC32BA"/>
    <w:rsid w:val="00FC4EA1"/>
    <w:rsid w:val="00FD08AE"/>
    <w:rsid w:val="00FD4C90"/>
    <w:rsid w:val="00FD5EA7"/>
    <w:rsid w:val="00FD6095"/>
    <w:rsid w:val="00FD7881"/>
    <w:rsid w:val="00FE36CF"/>
    <w:rsid w:val="00FE44B3"/>
    <w:rsid w:val="00FF0246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596B64"/>
    <w:pPr>
      <w:spacing w:before="120" w:after="120" w:line="269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340F5D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340F5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596B64"/>
    <w:pPr>
      <w:spacing w:before="360" w:line="240" w:lineRule="exact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596B64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244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244F4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245D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8512C"/>
    <w:pPr>
      <w:spacing w:after="0" w:line="240" w:lineRule="auto"/>
    </w:pPr>
    <w:rPr>
      <w:rFonts w:ascii="Fira Sans" w:hAnsi="Fira Sans"/>
      <w:sz w:val="19"/>
    </w:rPr>
  </w:style>
  <w:style w:type="paragraph" w:customStyle="1" w:styleId="TableParagraph">
    <w:name w:val="Table Paragraph"/>
    <w:basedOn w:val="Normalny"/>
    <w:uiPriority w:val="1"/>
    <w:qFormat/>
    <w:rsid w:val="00E50FC5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image" Target="media/image11.png"/><Relationship Id="rId39" Type="http://schemas.openxmlformats.org/officeDocument/2006/relationships/header" Target="header3.xml"/><Relationship Id="rId21" Type="http://schemas.openxmlformats.org/officeDocument/2006/relationships/image" Target="media/image8.png"/><Relationship Id="rId34" Type="http://schemas.openxmlformats.org/officeDocument/2006/relationships/hyperlink" Target="https://stat.gov.pl/en/metainformation/glossary/terms-used-in-official-statistics/613,term.html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tel:+48124204050" TargetMode="External"/><Relationship Id="rId25" Type="http://schemas.openxmlformats.org/officeDocument/2006/relationships/hyperlink" Target="https://www.instagram.com/gus_stat/" TargetMode="External"/><Relationship Id="rId33" Type="http://schemas.openxmlformats.org/officeDocument/2006/relationships/hyperlink" Target="https://stat.gov.pl/en/metainformation/glossary/terms-used-in-official-statistics/158,term.html" TargetMode="External"/><Relationship Id="rId38" Type="http://schemas.openxmlformats.org/officeDocument/2006/relationships/hyperlink" Target="https://stat.gov.pl/en/metainformation/glossary/terms-used-in-official-statistics/128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stat.gov.pl/en/" TargetMode="External"/><Relationship Id="rId29" Type="http://schemas.openxmlformats.org/officeDocument/2006/relationships/image" Target="media/image12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0.png"/><Relationship Id="rId32" Type="http://schemas.openxmlformats.org/officeDocument/2006/relationships/hyperlink" Target="https://stat.gov.pl/en/metainformation/glossary/terms-used-in-official-statistics/395,term.html" TargetMode="External"/><Relationship Id="rId37" Type="http://schemas.openxmlformats.org/officeDocument/2006/relationships/hyperlink" Target="https://stat.gov.pl/en/metainformation/glossary/terms-used-in-official-statistics/229,term.html" TargetMode="External"/><Relationship Id="rId40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yperlink" Target="https://www.facebook.com/GlownyUrzadStatystyczny/" TargetMode="External"/><Relationship Id="rId28" Type="http://schemas.openxmlformats.org/officeDocument/2006/relationships/hyperlink" Target="https://pl.linkedin.com/company/glownyurzadstatystyczny" TargetMode="External"/><Relationship Id="rId36" Type="http://schemas.openxmlformats.org/officeDocument/2006/relationships/hyperlink" Target="https://stat.gov.pl/en/metainformation/glossary/terms-used-in-official-statistics/223,term.html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yperlink" Target="https://www.youtube.com/channel/UC0wiQMElFgYszpAoYgTnXtg/featured" TargetMode="External"/><Relationship Id="rId30" Type="http://schemas.openxmlformats.org/officeDocument/2006/relationships/hyperlink" Target="https://stat.gov.pl/en/topics/culture-tourism-sport/culture/financial-results-of-cultural-institutions-in-the-first-half-of-2024,13,30.html" TargetMode="External"/><Relationship Id="rId35" Type="http://schemas.openxmlformats.org/officeDocument/2006/relationships/hyperlink" Target="https://stat.gov.pl/en/metainformation/glossary/terms-used-in-official-statistics/615,term.html" TargetMode="Externa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1E9983FF-DC4B-4F4E-A072-0441E2B88E6D">04_Finan. results of cult. inst. in first three quarters of 2024.docx.docx</NazwaPliku>
    <Odbiorcy2 xmlns="1E9983FF-DC4B-4F4E-A072-0441E2B88E6D" xsi:nil="true"/>
    <_SourceUrl xmlns="http://schemas.microsoft.com/sharepoint/v3" xsi:nil="true"/>
    <xd_ProgID xmlns="http://schemas.microsoft.com/sharepoint/v3" xsi:nil="true"/>
    <Osoba xmlns="1E9983FF-DC4B-4F4E-A072-0441E2B88E6D">STAT\JASIOLEKM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2" ma:contentTypeDescription="Utwórz nowy dokument." ma:contentTypeScope="" ma:versionID="61828af194c162a3f8ba12efac41088b">
  <xsd:schema xmlns:xsd="http://www.w3.org/2001/XMLSchema" xmlns:xs="http://www.w3.org/2001/XMLSchema" xmlns:p="http://schemas.microsoft.com/office/2006/metadata/properties" xmlns:ns2="b5698c14-9734-4c2e-b0a6-c0f0e0420a38" xmlns:ns3="30d47203-49ec-4c8c-a442-62231931aabb" targetNamespace="http://schemas.microsoft.com/office/2006/metadata/properties" ma:root="true" ma:fieldsID="496f7d50f109622d7e203c236940c321" ns2:_="" ns3:_="">
    <xsd:import namespace="b5698c14-9734-4c2e-b0a6-c0f0e0420a38"/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Tematyka" minOccurs="0"/>
                <xsd:element ref="ns3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98c14-9734-4c2e-b0a6-c0f0e0420a38" elementFormDefault="qualified">
    <xsd:import namespace="http://schemas.microsoft.com/office/2006/documentManagement/types"/>
    <xsd:import namespace="http://schemas.microsoft.com/office/infopath/2007/PartnerControls"/>
    <xsd:element name="Tematyka" ma:index="2" nillable="true" ma:displayName=":" ma:description="Należy wybrać tematykę pliku" ma:format="Dropdown" ma:internalName="Tematyka">
      <xsd:simpleType>
        <xsd:restriction base="dms:Choice">
          <xsd:enumeration value="00 - Organizacja Systemu Publikacyjnego"/>
          <xsd:enumeration value="00 - Zasady - skład i typografia"/>
          <xsd:enumeration value="01 - Analizy statystyczne"/>
          <xsd:enumeration value="02 - Informacje statystyczne"/>
          <xsd:enumeration value="03 - Roczniki statystyczne"/>
          <xsd:enumeration value="04 - Foldery i publikacje okolicznościowe"/>
          <xsd:enumeration value="05 - Prace eksperymentalne"/>
          <xsd:enumeration value="06 - Metodologia badań statystycznych"/>
          <xsd:enumeration value="07 - Informacje sygnalne"/>
          <xsd:enumeration value="08 - Archiwum"/>
          <xsd:enumeration value="10 - Księga Identyfikacji Wizualnej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3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A0844890-8C11-4B90-B84A-C264033013B5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A4CE6F47-65A4-4F88-807D-6187E74D7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98c14-9734-4c2e-b0a6-c0f0e0420a38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3CB23B-D08C-48D1-AB87-274BBB53AC09}"/>
</file>

<file path=customXml/itemProps5.xml><?xml version="1.0" encoding="utf-8"?>
<ds:datastoreItem xmlns:ds="http://schemas.openxmlformats.org/officeDocument/2006/customXml" ds:itemID="{4092EFB7-B2B6-4F45-A385-B392A70579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1228</Words>
  <Characters>7374</Characters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cultural institutions in the first quarter of 2023</vt:lpstr>
    </vt:vector>
  </TitlesOfParts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2023-05-30T05:46:00Z</cp:lastPrinted>
  <dcterms:created xsi:type="dcterms:W3CDTF">2024-12-06T07:19:00Z</dcterms:created>
  <dcterms:modified xsi:type="dcterms:W3CDTF">2024-12-09T07:42:00Z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